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line="120" w:lineRule="exact"/>
        <w:ind w:left="0" w:right="0"/>
        <w:jc w:val="both"/>
        <w:rPr>
          <w:rFonts w:hint="eastAsia" w:ascii="仿宋_GB2312" w:eastAsia="仿宋_GB2312" w:cs="仿宋_GB2312"/>
          <w:bCs/>
          <w:kern w:val="2"/>
          <w:sz w:val="32"/>
          <w:szCs w:val="32"/>
        </w:rPr>
      </w:pPr>
    </w:p>
    <w:p>
      <w:pPr>
        <w:keepNext w:val="0"/>
        <w:keepLines w:val="0"/>
        <w:widowControl w:val="0"/>
        <w:suppressLineNumbers w:val="0"/>
        <w:spacing w:before="0" w:beforeAutospacing="0" w:after="0" w:afterAutospacing="0" w:line="560" w:lineRule="exact"/>
        <w:ind w:left="0" w:right="0"/>
        <w:jc w:val="both"/>
        <w:rPr>
          <w:rFonts w:hint="eastAsia" w:ascii="方正小标宋_GBK" w:hAnsi="方正小标宋_GBK" w:eastAsia="方正小标宋_GBK" w:cs="方正小标宋_GBK"/>
          <w:bCs/>
          <w:kern w:val="2"/>
          <w:sz w:val="32"/>
          <w:szCs w:val="32"/>
        </w:rPr>
      </w:pPr>
      <w:r>
        <w:rPr>
          <w:rFonts w:hint="eastAsia" w:ascii="方正小标宋_GBK" w:hAnsi="方正小标宋_GBK" w:eastAsia="方正小标宋_GBK" w:cs="方正小标宋_GBK"/>
          <w:bCs/>
          <w:kern w:val="2"/>
          <w:sz w:val="32"/>
          <w:szCs w:val="32"/>
          <w:lang w:val="en-US" w:eastAsia="zh-CN" w:bidi="ar"/>
        </w:rPr>
        <w:t xml:space="preserve"> </w:t>
      </w:r>
    </w:p>
    <w:p>
      <w:pPr>
        <w:keepNext w:val="0"/>
        <w:keepLines w:val="0"/>
        <w:widowControl w:val="0"/>
        <w:suppressLineNumbers w:val="0"/>
        <w:spacing w:before="0" w:beforeAutospacing="0" w:after="0" w:afterAutospacing="0" w:line="520" w:lineRule="exact"/>
        <w:ind w:left="0" w:right="0"/>
        <w:jc w:val="both"/>
        <w:rPr>
          <w:rFonts w:hint="default" w:ascii="Times New Roman" w:hAnsi="Times New Roman" w:eastAsia="方正小标宋_GBK" w:cs="Times New Roman"/>
          <w:kern w:val="2"/>
          <w:sz w:val="44"/>
          <w:szCs w:val="44"/>
        </w:rPr>
      </w:pPr>
      <w:bookmarkStart w:id="0" w:name="发文标题"/>
      <w:r>
        <w:rPr>
          <w:rFonts w:hint="eastAsia" w:ascii="方正小标宋_GBK" w:hAnsi="方正小标宋_GBK" w:eastAsia="方正小标宋_GBK" w:cs="方正小标宋_GBK"/>
          <w:kern w:val="2"/>
          <w:sz w:val="44"/>
          <w:szCs w:val="44"/>
          <w:lang w:val="en-US" w:eastAsia="zh-CN" w:bidi="ar"/>
        </w:rPr>
        <w:t>省农信联社办公室关于</w:t>
      </w:r>
      <w:bookmarkEnd w:id="0"/>
      <w:r>
        <w:rPr>
          <w:rFonts w:hint="eastAsia" w:ascii="方正小标宋_GBK" w:hAnsi="方正小标宋_GBK" w:eastAsia="方正小标宋_GBK" w:cs="方正小标宋_GBK"/>
          <w:kern w:val="2"/>
          <w:sz w:val="44"/>
          <w:szCs w:val="44"/>
          <w:lang w:val="en-US" w:eastAsia="zh-CN" w:bidi="ar"/>
        </w:rPr>
        <w:t>印发省农信联社法律性</w:t>
      </w:r>
    </w:p>
    <w:p>
      <w:pPr>
        <w:keepNext w:val="0"/>
        <w:keepLines w:val="0"/>
        <w:widowControl w:val="0"/>
        <w:suppressLineNumbers w:val="0"/>
        <w:spacing w:before="0" w:beforeAutospacing="0" w:after="0" w:afterAutospacing="0" w:line="520" w:lineRule="exact"/>
        <w:ind w:left="0" w:right="0" w:firstLine="1320" w:firstLineChars="300"/>
        <w:jc w:val="both"/>
        <w:rPr>
          <w:rFonts w:hint="default" w:ascii="Times New Roman" w:hAnsi="Times New Roman" w:eastAsia="方正小标宋_GBK" w:cs="Times New Roman"/>
          <w:kern w:val="2"/>
          <w:sz w:val="44"/>
          <w:szCs w:val="44"/>
        </w:rPr>
      </w:pPr>
      <w:r>
        <w:rPr>
          <w:rFonts w:hint="eastAsia" w:ascii="方正小标宋_GBK" w:hAnsi="方正小标宋_GBK" w:eastAsia="方正小标宋_GBK" w:cs="方正小标宋_GBK"/>
          <w:kern w:val="2"/>
          <w:sz w:val="44"/>
          <w:szCs w:val="44"/>
          <w:lang w:val="en-US" w:eastAsia="zh-CN" w:bidi="ar"/>
        </w:rPr>
        <w:t>文件文本合法性审查规则的通知</w:t>
      </w:r>
    </w:p>
    <w:p>
      <w:pPr>
        <w:keepNext w:val="0"/>
        <w:keepLines w:val="0"/>
        <w:widowControl w:val="0"/>
        <w:suppressLineNumbers w:val="0"/>
        <w:spacing w:before="0" w:beforeAutospacing="0" w:after="0" w:afterAutospacing="0"/>
        <w:ind w:left="0" w:right="0"/>
        <w:jc w:val="center"/>
        <w:rPr>
          <w:rFonts w:hint="default" w:ascii="Times New Roman" w:hAnsi="Times New Roman" w:eastAsia="楷体_GB2312" w:cs="Times New Roman"/>
          <w:kern w:val="2"/>
          <w:sz w:val="32"/>
          <w:szCs w:val="32"/>
        </w:rPr>
      </w:pPr>
      <w:r>
        <w:rPr>
          <w:rFonts w:hint="eastAsia" w:ascii="楷体_GB2312" w:hAnsi="Times New Roman" w:eastAsia="楷体_GB2312" w:cs="楷体_GB2312"/>
          <w:kern w:val="2"/>
          <w:sz w:val="32"/>
          <w:szCs w:val="32"/>
          <w:lang w:val="en-US" w:eastAsia="zh-CN" w:bidi="ar"/>
        </w:rPr>
        <w:t>浙信联办〔</w:t>
      </w:r>
      <w:r>
        <w:rPr>
          <w:rFonts w:hint="default" w:ascii="Times New Roman" w:hAnsi="Times New Roman" w:eastAsia="楷体_GB2312" w:cs="Times New Roman"/>
          <w:kern w:val="2"/>
          <w:sz w:val="32"/>
          <w:szCs w:val="32"/>
          <w:lang w:val="en-US" w:eastAsia="zh-CN" w:bidi="ar"/>
        </w:rPr>
        <w:t>2021</w:t>
      </w:r>
      <w:r>
        <w:rPr>
          <w:rFonts w:hint="eastAsia" w:ascii="楷体_GB2312" w:hAnsi="Times New Roman" w:eastAsia="楷体_GB2312" w:cs="楷体_GB2312"/>
          <w:kern w:val="2"/>
          <w:sz w:val="32"/>
          <w:szCs w:val="32"/>
          <w:lang w:val="en-US" w:eastAsia="zh-CN" w:bidi="ar"/>
        </w:rPr>
        <w:t>〕</w:t>
      </w:r>
      <w:r>
        <w:rPr>
          <w:rFonts w:hint="default" w:ascii="Times New Roman" w:hAnsi="Times New Roman" w:eastAsia="楷体_GB2312" w:cs="Times New Roman"/>
          <w:kern w:val="2"/>
          <w:sz w:val="32"/>
          <w:szCs w:val="32"/>
          <w:lang w:val="en-US" w:eastAsia="zh-CN" w:bidi="ar"/>
        </w:rPr>
        <w:t>20</w:t>
      </w:r>
      <w:r>
        <w:rPr>
          <w:rFonts w:hint="eastAsia" w:ascii="楷体_GB2312" w:hAnsi="Times New Roman" w:eastAsia="楷体_GB2312" w:cs="楷体_GB2312"/>
          <w:kern w:val="2"/>
          <w:sz w:val="32"/>
          <w:szCs w:val="32"/>
          <w:lang w:val="en-US" w:eastAsia="zh-CN" w:bidi="ar"/>
        </w:rPr>
        <w:t>号</w:t>
      </w:r>
    </w:p>
    <w:p>
      <w:pPr>
        <w:keepNext w:val="0"/>
        <w:keepLines w:val="0"/>
        <w:widowControl w:val="0"/>
        <w:suppressLineNumbers w:val="0"/>
        <w:spacing w:before="0" w:beforeAutospacing="0" w:after="0" w:afterAutospacing="0" w:line="520" w:lineRule="exact"/>
        <w:ind w:left="0" w:right="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20" w:lineRule="exact"/>
        <w:ind w:left="0" w:right="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各部室、各办事处：</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Lucida Sans Unicode" w:eastAsia="仿宋_GB2312" w:cs="仿宋_GB2312"/>
          <w:kern w:val="2"/>
          <w:sz w:val="32"/>
          <w:szCs w:val="32"/>
          <w:lang w:val="en-US" w:eastAsia="zh-CN" w:bidi="ar"/>
        </w:rPr>
        <w:t>依照《民法典》精神，为进一步优化和规范省农信联社本级法律性文件文本审查管理工作，</w:t>
      </w:r>
      <w:r>
        <w:rPr>
          <w:rFonts w:hint="eastAsia" w:ascii="仿宋_GB2312" w:hAnsi="Times New Roman" w:eastAsia="仿宋_GB2312" w:cs="仿宋_GB2312"/>
          <w:kern w:val="2"/>
          <w:sz w:val="32"/>
          <w:szCs w:val="32"/>
          <w:lang w:val="en-US" w:eastAsia="zh-CN" w:bidi="ar"/>
        </w:rPr>
        <w:t>提高法律审查效率，防控法律风险，省农信联社对原《省农信联社法律性文件文本合法性审查规则》（浙信联办〔</w:t>
      </w:r>
      <w:r>
        <w:rPr>
          <w:rFonts w:hint="default" w:ascii="Times New Roman" w:hAnsi="Times New Roman" w:eastAsia="仿宋_GB2312" w:cs="Times New Roman"/>
          <w:kern w:val="2"/>
          <w:sz w:val="32"/>
          <w:szCs w:val="32"/>
          <w:lang w:val="en-US" w:eastAsia="zh-CN" w:bidi="ar"/>
        </w:rPr>
        <w:t>2014</w:t>
      </w:r>
      <w:r>
        <w:rPr>
          <w:rFonts w:hint="eastAsia" w:ascii="仿宋_GB2312" w:hAnsi="Times New Roman" w:eastAsia="仿宋_GB2312" w:cs="仿宋_GB2312"/>
          <w:kern w:val="2"/>
          <w:sz w:val="32"/>
          <w:szCs w:val="32"/>
          <w:lang w:val="en-US" w:eastAsia="zh-CN" w:bidi="ar"/>
        </w:rPr>
        <w:t>〕</w:t>
      </w:r>
      <w:r>
        <w:rPr>
          <w:rFonts w:hint="default" w:ascii="Times New Roman" w:hAnsi="Times New Roman" w:eastAsia="仿宋_GB2312" w:cs="Times New Roman"/>
          <w:kern w:val="2"/>
          <w:sz w:val="32"/>
          <w:szCs w:val="32"/>
          <w:lang w:val="en-US" w:eastAsia="zh-CN" w:bidi="ar"/>
        </w:rPr>
        <w:t>86</w:t>
      </w:r>
      <w:r>
        <w:rPr>
          <w:rFonts w:hint="eastAsia" w:ascii="仿宋_GB2312" w:hAnsi="Lucida Sans Unicode" w:eastAsia="仿宋_GB2312" w:cs="仿宋_GB2312"/>
          <w:kern w:val="2"/>
          <w:sz w:val="32"/>
          <w:szCs w:val="32"/>
          <w:lang w:val="en-US" w:eastAsia="zh-CN" w:bidi="ar"/>
        </w:rPr>
        <w:t>号</w:t>
      </w:r>
      <w:r>
        <w:rPr>
          <w:rFonts w:hint="eastAsia" w:ascii="仿宋_GB2312" w:hAnsi="Times New Roman" w:eastAsia="仿宋_GB2312" w:cs="仿宋_GB2312"/>
          <w:kern w:val="2"/>
          <w:sz w:val="32"/>
          <w:szCs w:val="32"/>
          <w:lang w:val="en-US" w:eastAsia="zh-CN" w:bidi="ar"/>
        </w:rPr>
        <w:t>）</w:t>
      </w:r>
      <w:r>
        <w:rPr>
          <w:rFonts w:hint="eastAsia" w:ascii="仿宋_GB2312" w:hAnsi="Lucida Sans Unicode" w:eastAsia="仿宋_GB2312" w:cs="仿宋_GB2312"/>
          <w:kern w:val="2"/>
          <w:sz w:val="32"/>
          <w:szCs w:val="32"/>
          <w:lang w:val="en-US" w:eastAsia="zh-CN" w:bidi="ar"/>
        </w:rPr>
        <w:t>进行修订完善，</w:t>
      </w:r>
      <w:r>
        <w:rPr>
          <w:rFonts w:hint="eastAsia" w:ascii="仿宋_GB2312" w:hAnsi="Times New Roman" w:eastAsia="仿宋_GB2312" w:cs="仿宋_GB2312"/>
          <w:kern w:val="2"/>
          <w:sz w:val="32"/>
          <w:szCs w:val="32"/>
          <w:lang w:val="en-US" w:eastAsia="zh-CN" w:bidi="ar"/>
        </w:rPr>
        <w:t>现将新修订的《省农信联社法律性文件文本合法性审查规则》印发给你们，请认真贯彻执行。</w:t>
      </w:r>
    </w:p>
    <w:p>
      <w:pPr>
        <w:pStyle w:val="2"/>
        <w:widowControl/>
        <w:rPr>
          <w:rFonts w:hint="eastAsia" w:ascii="Arial" w:hAnsi="Arial" w:eastAsia="黑体" w:cs="黑体"/>
          <w:b/>
          <w:kern w:val="2"/>
          <w:sz w:val="32"/>
          <w:szCs w:val="32"/>
        </w:rPr>
      </w:pPr>
      <w:r>
        <w:rPr>
          <w:rFonts w:hint="eastAsia" w:ascii="Arial" w:hAnsi="Arial" w:eastAsia="黑体" w:cs="黑体"/>
          <w:b/>
          <w:kern w:val="2"/>
          <w:sz w:val="32"/>
          <w:szCs w:val="32"/>
        </w:rPr>
        <w:t xml:space="preserve"> </w:t>
      </w:r>
    </w:p>
    <w:p>
      <w:pPr>
        <w:keepNext w:val="0"/>
        <w:keepLines w:val="0"/>
        <w:widowControl w:val="0"/>
        <w:suppressLineNumbers w:val="0"/>
        <w:spacing w:before="0" w:beforeAutospacing="0" w:after="0" w:afterAutospacing="0" w:line="540" w:lineRule="exact"/>
        <w:ind w:left="840" w:leftChars="400" w:right="480" w:firstLine="3520" w:firstLineChars="11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省农信联社办公室</w:t>
      </w:r>
    </w:p>
    <w:p>
      <w:pPr>
        <w:keepNext w:val="0"/>
        <w:keepLines w:val="0"/>
        <w:widowControl w:val="0"/>
        <w:suppressLineNumbers w:val="0"/>
        <w:spacing w:before="0" w:beforeAutospacing="0" w:after="0" w:afterAutospacing="0" w:line="540" w:lineRule="exact"/>
        <w:ind w:left="0" w:right="480"/>
        <w:jc w:val="center"/>
        <w:rPr>
          <w:rFonts w:hint="eastAsia" w:ascii="Times New Roman" w:hAnsi="Times New Roman" w:eastAsia="仿宋_GB2312" w:cs="仿宋_GB2312"/>
          <w:kern w:val="2"/>
          <w:sz w:val="32"/>
          <w:szCs w:val="32"/>
        </w:rPr>
      </w:pPr>
      <w:r>
        <w:rPr>
          <w:rFonts w:hint="eastAsia" w:ascii="Times New Roman" w:hAnsi="Times New Roman" w:eastAsia="仿宋_GB2312" w:cs="仿宋_GB2312"/>
          <w:kern w:val="2"/>
          <w:sz w:val="32"/>
          <w:szCs w:val="32"/>
          <w:lang w:val="en-US" w:eastAsia="zh-CN" w:bidi="ar"/>
        </w:rPr>
        <w:t xml:space="preserve">         </w:t>
      </w:r>
      <w:r>
        <w:rPr>
          <w:rFonts w:hint="default" w:ascii="Times New Roman" w:hAnsi="Times New Roman" w:eastAsia="仿宋_GB2312" w:cs="Times New Roman"/>
          <w:kern w:val="2"/>
          <w:sz w:val="32"/>
          <w:szCs w:val="32"/>
          <w:lang w:val="en-US" w:eastAsia="zh-CN" w:bidi="ar"/>
        </w:rPr>
        <w:t xml:space="preserve">               2021</w:t>
      </w:r>
      <w:r>
        <w:rPr>
          <w:rFonts w:hint="eastAsia" w:ascii="仿宋_GB2312" w:hAnsi="Times New Roman" w:eastAsia="仿宋_GB2312" w:cs="仿宋_GB2312"/>
          <w:kern w:val="2"/>
          <w:sz w:val="32"/>
          <w:szCs w:val="32"/>
          <w:lang w:val="en-US" w:eastAsia="zh-CN" w:bidi="ar"/>
        </w:rPr>
        <w:t>年</w:t>
      </w:r>
      <w:r>
        <w:rPr>
          <w:rFonts w:hint="default" w:ascii="Times New Roman" w:hAnsi="Times New Roman" w:eastAsia="仿宋_GB2312" w:cs="Times New Roman"/>
          <w:kern w:val="2"/>
          <w:sz w:val="32"/>
          <w:szCs w:val="32"/>
          <w:lang w:val="en-US" w:eastAsia="zh-CN" w:bidi="ar"/>
        </w:rPr>
        <w:t>3</w:t>
      </w:r>
      <w:r>
        <w:rPr>
          <w:rFonts w:hint="eastAsia" w:ascii="仿宋_GB2312" w:hAnsi="Times New Roman" w:eastAsia="仿宋_GB2312" w:cs="仿宋_GB2312"/>
          <w:kern w:val="2"/>
          <w:sz w:val="32"/>
          <w:szCs w:val="32"/>
          <w:lang w:val="en-US" w:eastAsia="zh-CN" w:bidi="ar"/>
        </w:rPr>
        <w:t>月</w:t>
      </w:r>
      <w:r>
        <w:rPr>
          <w:rFonts w:hint="default" w:ascii="Times New Roman" w:hAnsi="Times New Roman" w:eastAsia="仿宋_GB2312" w:cs="Times New Roman"/>
          <w:kern w:val="2"/>
          <w:sz w:val="32"/>
          <w:szCs w:val="32"/>
          <w:lang w:val="en-US" w:eastAsia="zh-CN" w:bidi="ar"/>
        </w:rPr>
        <w:t>26</w:t>
      </w:r>
      <w:r>
        <w:rPr>
          <w:rFonts w:hint="eastAsia" w:ascii="仿宋_GB2312" w:hAnsi="Times New Roman" w:eastAsia="仿宋_GB2312" w:cs="仿宋_GB2312"/>
          <w:kern w:val="2"/>
          <w:sz w:val="32"/>
          <w:szCs w:val="32"/>
          <w:lang w:val="en-US" w:eastAsia="zh-CN" w:bidi="ar"/>
        </w:rPr>
        <w:t>日</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default" w:ascii="Times New Roman" w:hAnsi="Times New Roman" w:eastAsia="方正小标宋_GBK" w:cs="Times New Roman"/>
          <w:kern w:val="2"/>
          <w:sz w:val="36"/>
          <w:szCs w:val="36"/>
        </w:rPr>
      </w:pPr>
      <w:r>
        <w:rPr>
          <w:rFonts w:hint="default" w:ascii="Times New Roman" w:hAnsi="Times New Roman" w:eastAsia="方正小标宋_GBK" w:cs="Times New Roman"/>
          <w:kern w:val="2"/>
          <w:sz w:val="36"/>
          <w:szCs w:val="36"/>
          <w:lang w:val="en-US" w:eastAsia="zh-CN" w:bidi="ar"/>
        </w:rPr>
        <w:t xml:space="preserve"> </w:t>
      </w:r>
    </w:p>
    <w:p>
      <w:pPr>
        <w:keepNext w:val="0"/>
        <w:keepLines w:val="0"/>
        <w:widowControl w:val="0"/>
        <w:suppressLineNumbers w:val="0"/>
        <w:spacing w:before="0" w:beforeAutospacing="0" w:after="0" w:afterAutospacing="0" w:line="540" w:lineRule="exact"/>
        <w:ind w:left="0" w:right="0"/>
        <w:jc w:val="center"/>
        <w:rPr>
          <w:rFonts w:hint="eastAsia" w:ascii="楷体_GB2312" w:hAnsi="Times New Roman" w:eastAsia="楷体_GB2312" w:cs="楷体_GB2312"/>
          <w:kern w:val="2"/>
          <w:sz w:val="36"/>
          <w:szCs w:val="36"/>
        </w:rPr>
      </w:pPr>
      <w:r>
        <w:rPr>
          <w:rFonts w:hint="eastAsia" w:ascii="方正小标宋_GBK" w:hAnsi="方正小标宋_GBK" w:eastAsia="方正小标宋_GBK" w:cs="方正小标宋_GBK"/>
          <w:kern w:val="2"/>
          <w:sz w:val="36"/>
          <w:szCs w:val="36"/>
          <w:lang w:val="en-US" w:eastAsia="zh-CN" w:bidi="ar"/>
        </w:rPr>
        <w:t>省农信联社法律性文件文本合法性审查规则</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第一章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总</w:t>
      </w:r>
      <w:r>
        <w:rPr>
          <w:rFonts w:hint="eastAsia" w:ascii="Times New Roman" w:hAnsi="Times New Roman" w:eastAsia="黑体" w:cs="黑体"/>
          <w:kern w:val="2"/>
          <w:sz w:val="32"/>
          <w:szCs w:val="32"/>
          <w:lang w:val="en-US" w:eastAsia="zh-CN" w:bidi="ar"/>
        </w:rPr>
        <w:t xml:space="preserve">  </w:t>
      </w:r>
      <w:r>
        <w:rPr>
          <w:rFonts w:hint="eastAsia" w:ascii="黑体" w:hAnsi="宋体" w:eastAsia="黑体" w:cs="黑体"/>
          <w:kern w:val="2"/>
          <w:sz w:val="32"/>
          <w:szCs w:val="32"/>
          <w:lang w:val="en-US" w:eastAsia="zh-CN" w:bidi="ar"/>
        </w:rPr>
        <w:t>则</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kern w:val="0"/>
          <w:sz w:val="32"/>
          <w:szCs w:val="32"/>
          <w:lang w:val="en-US" w:eastAsia="zh-CN" w:bidi="ar"/>
        </w:rPr>
        <w:t>第一条</w:t>
      </w:r>
      <w:r>
        <w:rPr>
          <w:rFonts w:hint="default" w:ascii="Times New Roman" w:hAnsi="Times New Roman" w:eastAsia="等线 Light" w:cs="Times New Roman"/>
          <w:b/>
          <w:kern w:val="0"/>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为加强合法性审查管理，防范和控制经营管理过程中的相关法律风险，维护我社合法权益，支持各项业务健康发展，根据有关法律、法规和规章制度，制定本规则。</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第二条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本规则所称合法性审查工作，指省农信联社法律事务部门，依据国家现行法律法规，根据本规则的规定，对法律性文件文本相关法律风险进行识别、提示，并提出风险防控措施或建议的专业性工作。</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第三条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本规则所称法律性文件文本，指省农信联社拟签（出）具的构成单方或者多方权利义务关系、具有法律约束力的文件，具体包括：</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（一）各类合同及从合同；</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（二）各类委托代理协议、合作协议、服务协议；</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（三）各类对外具有法律效力的管理服务制度办法；</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（四）为全省农信系统提供的各类格式合同文本；</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（五）其他产生权利、义务关系的法律性文件文本。</w:t>
      </w:r>
    </w:p>
    <w:p>
      <w:pPr>
        <w:keepNext w:val="0"/>
        <w:keepLines w:val="0"/>
        <w:widowControl w:val="0"/>
        <w:suppressLineNumbers w:val="0"/>
        <w:spacing w:before="0" w:beforeAutospacing="0" w:after="0" w:afterAutospacing="0" w:line="560" w:lineRule="exact"/>
        <w:ind w:left="0" w:right="0" w:firstLine="643"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b/>
          <w:bCs w:val="0"/>
          <w:kern w:val="2"/>
          <w:sz w:val="32"/>
          <w:szCs w:val="32"/>
          <w:lang w:val="en-US" w:eastAsia="zh-CN" w:bidi="ar"/>
        </w:rPr>
        <w:t>第四条</w:t>
      </w:r>
      <w:r>
        <w:rPr>
          <w:rFonts w:hint="eastAsia" w:ascii="仿宋_GB2312" w:hAnsi="等线" w:eastAsia="仿宋_GB2312" w:cs="仿宋_GB2312"/>
          <w:kern w:val="2"/>
          <w:sz w:val="32"/>
          <w:szCs w:val="32"/>
          <w:lang w:val="en-US" w:eastAsia="zh-CN" w:bidi="ar"/>
        </w:rPr>
        <w:t xml:space="preserve"> 合同文本分为格式合同，示范合同和其他合同。</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（一）格式合同是为了重复使用而对合同的内容，体例和格式预先拟定，在订立时不再另行与合同对方当事人进行协商的合同文本；</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（二）示范合同是对合同文本的内容，体例和格式预先规范，在订立时参照使用的合同文本；</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（三）其他合同是指除格式合同，示范合同之外的合同，包括但不限于：国家机关、行业协会拟定的规范性合同文本，各职能部室自行拟定的合同文本，由合同相对方提供的合同文本等。</w:t>
      </w:r>
    </w:p>
    <w:p>
      <w:pPr>
        <w:keepNext w:val="0"/>
        <w:keepLines w:val="0"/>
        <w:widowControl w:val="0"/>
        <w:suppressLineNumbers w:val="0"/>
        <w:spacing w:before="0" w:beforeAutospacing="0" w:after="0" w:afterAutospacing="0" w:line="560" w:lineRule="exact"/>
        <w:ind w:left="0" w:right="0" w:firstLine="643"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b/>
          <w:bCs w:val="0"/>
          <w:kern w:val="2"/>
          <w:sz w:val="32"/>
          <w:szCs w:val="32"/>
          <w:lang w:val="en-US" w:eastAsia="zh-CN" w:bidi="ar"/>
        </w:rPr>
        <w:t xml:space="preserve">第五条 </w:t>
      </w:r>
      <w:r>
        <w:rPr>
          <w:rFonts w:hint="eastAsia" w:ascii="仿宋_GB2312" w:hAnsi="等线" w:eastAsia="仿宋_GB2312" w:cs="仿宋_GB2312"/>
          <w:kern w:val="2"/>
          <w:sz w:val="32"/>
          <w:szCs w:val="32"/>
          <w:lang w:val="en-US" w:eastAsia="zh-CN" w:bidi="ar"/>
        </w:rPr>
        <w:t>下列合同无需提交法律审查：</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（一）格式合同。订立的合同使用省农信联社、或由国家政府机关、行业协会拟定的格式合同，但职能部室首次制定的格式合同文本除外；</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（二）示范合同。订立的合同使用省农信联社、或由国家政府机关、行业协会拟定的示范合同文本且主要条款未作修改，但职能部室首次制定的示范合同文本除外；</w:t>
      </w:r>
    </w:p>
    <w:p>
      <w:pPr>
        <w:keepNext w:val="0"/>
        <w:keepLines w:val="0"/>
        <w:widowControl w:val="0"/>
        <w:suppressLineNumbers w:val="0"/>
        <w:spacing w:before="0" w:beforeAutospacing="0" w:after="0" w:afterAutospacing="0" w:line="560" w:lineRule="exact"/>
        <w:ind w:left="0" w:right="0" w:firstLine="640" w:firstLineChars="200"/>
        <w:jc w:val="both"/>
        <w:rPr>
          <w:rFonts w:hint="eastAsia" w:ascii="仿宋_GB2312" w:hAnsi="等线" w:eastAsia="仿宋_GB2312" w:cs="仿宋_GB2312"/>
          <w:kern w:val="2"/>
          <w:sz w:val="32"/>
          <w:szCs w:val="32"/>
        </w:rPr>
      </w:pPr>
      <w:r>
        <w:rPr>
          <w:rFonts w:hint="eastAsia" w:ascii="仿宋_GB2312" w:hAnsi="等线" w:eastAsia="仿宋_GB2312" w:cs="仿宋_GB2312"/>
          <w:kern w:val="2"/>
          <w:sz w:val="32"/>
          <w:szCs w:val="32"/>
          <w:lang w:val="en-US" w:eastAsia="zh-CN" w:bidi="ar"/>
        </w:rPr>
        <w:t>（三）续签合同。原合同已经过合法性审查，直接续签的合同。但续签合同的主要条款发生实质性变化，或合同相关法律、法规及监管政策制度发生重大变化的，需提交合法性审查。</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第六条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合法性审查工作应遵循以下原则：</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（一）审慎原则。凡本规则规定应当进行合法性审查的文件文本，各部门在审批、签署或实施前，必须履行相应的合法性审查程序。</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（二）分工配合原则。合法性审查管理应当确定合理的管理程序，明确分工与职责，坚持内部审核与外部法律顾问审查相结合，兼顾成本和风险防控，实现协作与制衡的有机结合。</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（三）独立原则</w:t>
      </w:r>
      <w:r>
        <w:rPr>
          <w:rFonts w:hint="eastAsia" w:ascii="楷体_GB2312" w:hAnsi="Times New Roman" w:eastAsia="楷体_GB2312" w:cs="楷体_GB2312"/>
          <w:kern w:val="2"/>
          <w:sz w:val="32"/>
          <w:szCs w:val="32"/>
          <w:lang w:val="en-US" w:eastAsia="zh-CN" w:bidi="ar"/>
        </w:rPr>
        <w:t>。</w:t>
      </w:r>
      <w:r>
        <w:rPr>
          <w:rFonts w:hint="eastAsia" w:ascii="仿宋_GB2312" w:hAnsi="Times New Roman" w:eastAsia="仿宋_GB2312" w:cs="仿宋_GB2312"/>
          <w:kern w:val="2"/>
          <w:sz w:val="32"/>
          <w:szCs w:val="32"/>
          <w:lang w:val="en-US" w:eastAsia="zh-CN" w:bidi="ar"/>
        </w:rPr>
        <w:t>合法性审查工作应坚持独立审查原则。法律审查人员应结合审查文本的内容及国家现行法律法规的规定，独立出具审查意见；任何部门及个人不得以市场竞争、业务发展等理由干预和影响合法性审查工作。</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（四）规范原则。法律事务部门应当严格遵照本规则，按照规范的审查程序和工作要求履行审查职责，出具合法性意见，并做好相关资料的保管工作。</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第二章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职责分工</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第七条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法律事务部门是合法性审查工作的牵头管理部门，主要履行以下职责：</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（一）建立健全合法性审查工作机制，组织开展合法性审查；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（二）牵头负责合法性审查相关系统的建设、优化和管理；</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（三）定期梳理合法性审查中带有普遍性、代表性和典型性的法律问题进行重点研究，及时编写并发布相关法律风险提示；</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（四）负责其他合法性审查管理工作。</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第八条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送审部门是为履行其管理、指导、协调、服务职能，而向法律事务部门报送合法性审查文本的职能部室或办事处，主要履行以下职责：</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（一）依照本规则要求送审合法性审查文本；</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（二）对送审文本进行业务性预审查；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（三）按时、完整、规范地提交合法性审查所需的相关背景资料，并对送审文本的真实性、有效性、完整性负责；</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（四）落实合法性审查意见。</w:t>
      </w:r>
    </w:p>
    <w:p>
      <w:pPr>
        <w:keepNext w:val="0"/>
        <w:keepLines w:val="0"/>
        <w:widowControl w:val="0"/>
        <w:suppressLineNumbers w:val="0"/>
        <w:spacing w:before="0" w:beforeAutospacing="0" w:after="0" w:afterAutospacing="0" w:line="540" w:lineRule="exact"/>
        <w:ind w:left="0" w:right="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第三章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合法性审查要点</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第九条</w:t>
      </w:r>
      <w:r>
        <w:rPr>
          <w:rFonts w:hint="default" w:ascii="Times New Roman" w:hAnsi="Times New Roman" w:eastAsia="仿宋_GB2312" w:cs="Times New Roman"/>
          <w:b/>
          <w:bCs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合法性审查应包括但不限于以下要点：</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（一）是否符合法律、法规、规章的规定；</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（二）文件文本条款是否存在重大法律风险，是否存在对我社权益重大损害的情形等；</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（三）各方当事人的权利义务及违约责任的约定是否公平合理且具操作性；</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（四）文件文本条款意思表示是否明确，条款之间是否有冲突、歧义；</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（五）文件文本条款内容是否完整；</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（六）文件文本的订立和签署形式是否恰当。</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第十条</w:t>
      </w:r>
      <w:r>
        <w:rPr>
          <w:rFonts w:hint="default" w:ascii="Times New Roman" w:hAnsi="Times New Roman" w:eastAsia="仿宋_GB2312" w:cs="Times New Roman"/>
          <w:b/>
          <w:bCs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法律事务部门应仅对送审文本中存在的法律问题进行分析，对法律风险作出判断，并提出防范或降低法律风险的建议。法律事务部门不对送审文本中涉及的商业条款进行审查和判断。</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第四章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合法性审查流程</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第十一条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合法性审查流程包括送审、初审、复审三个环节。</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第十二条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送审环节</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（一）开展业务性预审查。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由送审部门根据《省农信联社常用类型合同基本要素》（附件）对送审文本开展业务性预审查。送审文本需符合以下条件：</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1.</w:t>
      </w:r>
      <w:r>
        <w:rPr>
          <w:rFonts w:hint="eastAsia" w:ascii="仿宋_GB2312" w:hAnsi="Times New Roman" w:eastAsia="仿宋_GB2312" w:cs="仿宋_GB2312"/>
          <w:kern w:val="2"/>
          <w:sz w:val="32"/>
          <w:szCs w:val="32"/>
          <w:lang w:val="en-US" w:eastAsia="zh-CN" w:bidi="ar"/>
        </w:rPr>
        <w:t>送审文本已经专业审核，文本内容符合业务实际需要和实际情况，符合相关业务管理规定和业务审批要求；</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eastAsia" w:ascii="仿宋_GB2312" w:hAnsi="Times New Roman" w:eastAsia="仿宋_GB2312" w:cs="仿宋_GB2312"/>
          <w:kern w:val="2"/>
          <w:sz w:val="32"/>
          <w:szCs w:val="32"/>
          <w:lang w:val="en-US" w:eastAsia="zh-CN" w:bidi="ar"/>
        </w:rPr>
        <w:t xml:space="preserve">合同相对方具备签约资格和履约能力； </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3.</w:t>
      </w:r>
      <w:r>
        <w:rPr>
          <w:rFonts w:hint="eastAsia" w:ascii="仿宋_GB2312" w:hAnsi="Times New Roman" w:eastAsia="仿宋_GB2312" w:cs="仿宋_GB2312"/>
          <w:kern w:val="2"/>
          <w:sz w:val="32"/>
          <w:szCs w:val="32"/>
          <w:lang w:val="en-US" w:eastAsia="zh-CN" w:bidi="ar"/>
        </w:rPr>
        <w:t xml:space="preserve">送审文本要素齐全、附件完备； </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4.</w:t>
      </w:r>
      <w:r>
        <w:rPr>
          <w:rFonts w:hint="eastAsia" w:ascii="仿宋_GB2312" w:hAnsi="Times New Roman" w:eastAsia="仿宋_GB2312" w:cs="仿宋_GB2312"/>
          <w:kern w:val="2"/>
          <w:sz w:val="32"/>
          <w:szCs w:val="32"/>
          <w:lang w:val="en-US" w:eastAsia="zh-CN" w:bidi="ar"/>
        </w:rPr>
        <w:t>不存在语句不通、逻辑混乱等文义性问题和错别字、序号错乱等格式规范问题。</w:t>
      </w:r>
    </w:p>
    <w:p>
      <w:pPr>
        <w:keepNext w:val="0"/>
        <w:keepLines w:val="0"/>
        <w:widowControl w:val="0"/>
        <w:suppressLineNumbers w:val="0"/>
        <w:spacing w:before="0" w:beforeAutospacing="0" w:after="0" w:afterAutospacing="0" w:line="540" w:lineRule="exact"/>
        <w:ind w:left="0" w:right="0" w:firstLine="640" w:firstLineChars="200"/>
        <w:jc w:val="both"/>
        <w:rPr>
          <w:rFonts w:hint="eastAsia" w:ascii="仿宋_GB2312" w:hAnsi="Times New Roman" w:eastAsia="仿宋_GB2312" w:cs="仿宋_GB2312"/>
          <w:kern w:val="2"/>
          <w:sz w:val="32"/>
          <w:szCs w:val="32"/>
        </w:rPr>
      </w:pPr>
      <w:r>
        <w:rPr>
          <w:rFonts w:hint="eastAsia" w:ascii="仿宋_GB2312" w:hAnsi="Times New Roman" w:eastAsia="仿宋_GB2312" w:cs="仿宋_GB2312"/>
          <w:kern w:val="2"/>
          <w:sz w:val="32"/>
          <w:szCs w:val="32"/>
          <w:lang w:val="en-US" w:eastAsia="zh-CN" w:bidi="ar"/>
        </w:rPr>
        <w:t>（二）履行送审手续。</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送审部门应通过省农信联社</w:t>
      </w:r>
      <w:r>
        <w:rPr>
          <w:rFonts w:hint="default" w:ascii="Times New Roman" w:hAnsi="Times New Roman" w:eastAsia="仿宋_GB2312" w:cs="Times New Roman"/>
          <w:kern w:val="2"/>
          <w:sz w:val="32"/>
          <w:szCs w:val="32"/>
          <w:lang w:val="en-US" w:eastAsia="zh-CN" w:bidi="ar"/>
        </w:rPr>
        <w:t>OA</w:t>
      </w:r>
      <w:r>
        <w:rPr>
          <w:rFonts w:hint="eastAsia" w:ascii="仿宋_GB2312" w:hAnsi="Times New Roman" w:eastAsia="仿宋_GB2312" w:cs="仿宋_GB2312"/>
          <w:kern w:val="2"/>
          <w:sz w:val="32"/>
          <w:szCs w:val="32"/>
          <w:lang w:val="en-US" w:eastAsia="zh-CN" w:bidi="ar"/>
        </w:rPr>
        <w:t>办公管理系统</w:t>
      </w:r>
      <w:r>
        <w:rPr>
          <w:rFonts w:hint="default" w:ascii="Times New Roman" w:hAnsi="Times New Roman" w:eastAsia="仿宋_GB2312" w:cs="Times New Roman"/>
          <w:kern w:val="2"/>
          <w:sz w:val="32"/>
          <w:szCs w:val="32"/>
          <w:lang w:val="en-US" w:eastAsia="zh-CN" w:bidi="ar"/>
        </w:rPr>
        <w:t>“</w:t>
      </w:r>
      <w:r>
        <w:rPr>
          <w:rFonts w:hint="eastAsia" w:ascii="仿宋_GB2312" w:hAnsi="Times New Roman" w:eastAsia="仿宋_GB2312" w:cs="仿宋_GB2312"/>
          <w:kern w:val="2"/>
          <w:sz w:val="32"/>
          <w:szCs w:val="32"/>
          <w:lang w:val="en-US" w:eastAsia="zh-CN" w:bidi="ar"/>
        </w:rPr>
        <w:t>法律审查</w:t>
      </w:r>
      <w:r>
        <w:rPr>
          <w:rFonts w:hint="default" w:ascii="Times New Roman" w:hAnsi="Times New Roman" w:eastAsia="仿宋_GB2312" w:cs="Times New Roman"/>
          <w:kern w:val="2"/>
          <w:sz w:val="32"/>
          <w:szCs w:val="32"/>
          <w:lang w:val="en-US" w:eastAsia="zh-CN" w:bidi="ar"/>
        </w:rPr>
        <w:t>”</w:t>
      </w:r>
      <w:r>
        <w:rPr>
          <w:rFonts w:hint="eastAsia" w:ascii="仿宋_GB2312" w:hAnsi="Times New Roman" w:eastAsia="仿宋_GB2312" w:cs="仿宋_GB2312"/>
          <w:kern w:val="2"/>
          <w:sz w:val="32"/>
          <w:szCs w:val="32"/>
          <w:lang w:val="en-US" w:eastAsia="zh-CN" w:bidi="ar"/>
        </w:rPr>
        <w:t>模块送审，录入送审文本相关信息，上传送审文本（</w:t>
      </w:r>
      <w:r>
        <w:rPr>
          <w:rFonts w:hint="default" w:ascii="Times New Roman" w:hAnsi="Times New Roman" w:eastAsia="仿宋_GB2312" w:cs="Times New Roman"/>
          <w:kern w:val="2"/>
          <w:sz w:val="32"/>
          <w:szCs w:val="32"/>
          <w:lang w:val="en-US" w:eastAsia="zh-CN" w:bidi="ar"/>
        </w:rPr>
        <w:t>Word</w:t>
      </w:r>
      <w:r>
        <w:rPr>
          <w:rFonts w:hint="eastAsia" w:ascii="仿宋_GB2312" w:hAnsi="Times New Roman" w:eastAsia="仿宋_GB2312" w:cs="仿宋_GB2312"/>
          <w:kern w:val="2"/>
          <w:sz w:val="32"/>
          <w:szCs w:val="32"/>
          <w:lang w:val="en-US" w:eastAsia="zh-CN" w:bidi="ar"/>
        </w:rPr>
        <w:t>版）及相关背景材料，经部门负责人审批同意后提交至法律事务部门进行审查。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对于送审文本及资料不齐全、存在其他重大瑕疵或不属于合法性审查范畴的，法律事务部门可要求送审部门补充材料或将该送审文本退回。</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（三）送审时限要求。</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送审部门应于签发或实施前至少</w:t>
      </w:r>
      <w:r>
        <w:rPr>
          <w:rFonts w:hint="default" w:ascii="Times New Roman" w:hAnsi="Times New Roman" w:eastAsia="仿宋_GB2312" w:cs="Times New Roman"/>
          <w:kern w:val="2"/>
          <w:sz w:val="32"/>
          <w:szCs w:val="32"/>
          <w:lang w:val="en-US" w:eastAsia="zh-CN" w:bidi="ar"/>
        </w:rPr>
        <w:t>5</w:t>
      </w:r>
      <w:r>
        <w:rPr>
          <w:rFonts w:hint="eastAsia" w:ascii="仿宋_GB2312" w:hAnsi="Times New Roman" w:eastAsia="仿宋_GB2312" w:cs="仿宋_GB2312"/>
          <w:kern w:val="2"/>
          <w:sz w:val="32"/>
          <w:szCs w:val="32"/>
          <w:lang w:val="en-US" w:eastAsia="zh-CN" w:bidi="ar"/>
        </w:rPr>
        <w:t>个工作日将送审文本提交至法律事务部门进行审查。原则上，法律事务部门对倒签文本不予审查；因情况紧急或条件限制等原因未能及时签署的，应及时补签，并在送交合法性审查时书面说明原因及相关情况。</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第十三条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初审环节</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法律事务部门确定初审人员开展合法性审查初审，初审从形式审查和实质审查两方面展开，并根据审查文本的情况提交至法律顾问。</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（一）形式审查。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初审人员应审查送审资料的完整性和准确性，对于送审资料不完整、送审单填写不完善或存在疑问的，初审人员可以退回或要求送审部门补充提供材料或说明。</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（二）实质审查。</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初审人员应遵守审慎原则，根据现行法律、法规和规章制度，按照本规则规定的合法性审查要点进行逐一审查，并形成初审意见，提交复审。</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（三）法律顾问审查。</w:t>
      </w:r>
    </w:p>
    <w:p>
      <w:pPr>
        <w:keepNext w:val="0"/>
        <w:keepLines w:val="0"/>
        <w:widowControl w:val="0"/>
        <w:suppressLineNumbers w:val="0"/>
        <w:spacing w:before="0" w:beforeAutospacing="0" w:after="0" w:afterAutospacing="0" w:line="540" w:lineRule="exact"/>
        <w:ind w:left="0" w:right="0" w:firstLine="640" w:firstLineChars="200"/>
        <w:jc w:val="both"/>
        <w:rPr>
          <w:rFonts w:hint="eastAsia" w:ascii="仿宋_GB2312" w:hAnsi="仿宋" w:eastAsia="仿宋_GB2312" w:cs="仿宋_GB2312"/>
          <w:kern w:val="2"/>
          <w:sz w:val="32"/>
          <w:szCs w:val="32"/>
        </w:rPr>
      </w:pPr>
      <w:r>
        <w:rPr>
          <w:rFonts w:hint="eastAsia" w:ascii="仿宋_GB2312" w:hAnsi="仿宋" w:eastAsia="仿宋_GB2312" w:cs="仿宋_GB2312"/>
          <w:kern w:val="2"/>
          <w:sz w:val="32"/>
          <w:szCs w:val="32"/>
          <w:lang w:val="en-US" w:eastAsia="zh-CN" w:bidi="ar"/>
        </w:rPr>
        <w:t>属于以下情形之一的法律文本，由法律顾问审查进行初审：</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1.</w:t>
      </w:r>
      <w:r>
        <w:rPr>
          <w:rFonts w:hint="eastAsia" w:ascii="仿宋_GB2312" w:hAnsi="Times New Roman" w:eastAsia="仿宋_GB2312" w:cs="仿宋_GB2312"/>
          <w:kern w:val="2"/>
          <w:sz w:val="32"/>
          <w:szCs w:val="32"/>
          <w:lang w:val="en-US" w:eastAsia="zh-CN" w:bidi="ar"/>
        </w:rPr>
        <w:t>首次拟定或签订的标准化格式法律文本；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eastAsia" w:ascii="仿宋_GB2312" w:hAnsi="Times New Roman" w:eastAsia="仿宋_GB2312" w:cs="仿宋_GB2312"/>
          <w:kern w:val="2"/>
          <w:sz w:val="32"/>
          <w:szCs w:val="32"/>
          <w:lang w:val="en-US" w:eastAsia="zh-CN" w:bidi="ar"/>
        </w:rPr>
        <w:t>涉及新产品、新业务等含有创新要素的法律文本；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3.</w:t>
      </w:r>
      <w:r>
        <w:rPr>
          <w:rFonts w:hint="eastAsia" w:ascii="仿宋_GB2312" w:hAnsi="Times New Roman" w:eastAsia="仿宋_GB2312" w:cs="仿宋_GB2312"/>
          <w:kern w:val="2"/>
          <w:sz w:val="32"/>
          <w:szCs w:val="32"/>
          <w:lang w:val="en-US" w:eastAsia="zh-CN" w:bidi="ar"/>
        </w:rPr>
        <w:t>涉及非常规金融产品、非常规业务以及其他涉及复杂法律事项的法律文本；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4.</w:t>
      </w:r>
      <w:r>
        <w:rPr>
          <w:rFonts w:hint="eastAsia" w:ascii="仿宋_GB2312" w:hAnsi="Times New Roman" w:eastAsia="仿宋_GB2312" w:cs="仿宋_GB2312"/>
          <w:kern w:val="2"/>
          <w:sz w:val="32"/>
          <w:szCs w:val="32"/>
          <w:lang w:val="en-US" w:eastAsia="zh-CN" w:bidi="ar"/>
        </w:rPr>
        <w:t>涉及新出台法律法规、政策文件或监管部门（有权部门）相关要求的法律文本；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5.</w:t>
      </w:r>
      <w:r>
        <w:rPr>
          <w:rFonts w:hint="eastAsia" w:ascii="仿宋_GB2312" w:hAnsi="Times New Roman" w:eastAsia="仿宋_GB2312" w:cs="仿宋_GB2312"/>
          <w:kern w:val="2"/>
          <w:sz w:val="32"/>
          <w:szCs w:val="32"/>
          <w:lang w:val="en-US" w:eastAsia="zh-CN" w:bidi="ar"/>
        </w:rPr>
        <w:t>基于已发生的争议纠纷或可能发生的争议纠纷而签订的法律文本；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6.</w:t>
      </w:r>
      <w:r>
        <w:rPr>
          <w:rFonts w:hint="eastAsia" w:ascii="仿宋_GB2312" w:hAnsi="Times New Roman" w:eastAsia="仿宋_GB2312" w:cs="仿宋_GB2312"/>
          <w:kern w:val="2"/>
          <w:sz w:val="32"/>
          <w:szCs w:val="32"/>
          <w:lang w:val="en-US" w:eastAsia="zh-CN" w:bidi="ar"/>
        </w:rPr>
        <w:t>首次签订的且合同金额大于</w:t>
      </w:r>
      <w:r>
        <w:rPr>
          <w:rFonts w:hint="default" w:ascii="Times New Roman" w:hAnsi="Times New Roman" w:eastAsia="仿宋_GB2312" w:cs="Times New Roman"/>
          <w:kern w:val="2"/>
          <w:sz w:val="32"/>
          <w:szCs w:val="32"/>
          <w:lang w:val="en-US" w:eastAsia="zh-CN" w:bidi="ar"/>
        </w:rPr>
        <w:t>200</w:t>
      </w:r>
      <w:r>
        <w:rPr>
          <w:rFonts w:hint="eastAsia" w:ascii="仿宋_GB2312" w:hAnsi="Times New Roman" w:eastAsia="仿宋_GB2312" w:cs="仿宋_GB2312"/>
          <w:kern w:val="2"/>
          <w:sz w:val="32"/>
          <w:szCs w:val="32"/>
          <w:lang w:val="en-US" w:eastAsia="zh-CN" w:bidi="ar"/>
        </w:rPr>
        <w:t>万元的法律文本；</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7.</w:t>
      </w:r>
      <w:r>
        <w:rPr>
          <w:rFonts w:hint="eastAsia" w:ascii="仿宋_GB2312" w:hAnsi="Times New Roman" w:eastAsia="仿宋_GB2312" w:cs="仿宋_GB2312"/>
          <w:kern w:val="2"/>
          <w:sz w:val="32"/>
          <w:szCs w:val="32"/>
          <w:lang w:val="en-US" w:eastAsia="zh-CN" w:bidi="ar"/>
        </w:rPr>
        <w:t>相关职能部门明确要求法律顾问出具书面法律审查意见的；</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8.</w:t>
      </w:r>
      <w:r>
        <w:rPr>
          <w:rFonts w:hint="eastAsia" w:ascii="仿宋_GB2312" w:hAnsi="Times New Roman" w:eastAsia="仿宋_GB2312" w:cs="仿宋_GB2312"/>
          <w:kern w:val="2"/>
          <w:sz w:val="32"/>
          <w:szCs w:val="32"/>
          <w:lang w:val="en-US" w:eastAsia="zh-CN" w:bidi="ar"/>
        </w:rPr>
        <w:t>其他内部审查人员认为具有一定特殊性、复杂性、疑难性或高风险性，基于风险防范要求，需提交法律顾问审查的法律文本。</w:t>
      </w:r>
    </w:p>
    <w:p>
      <w:pPr>
        <w:keepNext w:val="0"/>
        <w:keepLines w:val="0"/>
        <w:widowControl w:val="0"/>
        <w:suppressLineNumbers w:val="0"/>
        <w:spacing w:before="0" w:beforeAutospacing="0" w:after="0" w:afterAutospacing="0" w:line="540" w:lineRule="exact"/>
        <w:ind w:left="0" w:right="0" w:firstLine="640" w:firstLineChars="200"/>
        <w:jc w:val="both"/>
        <w:rPr>
          <w:rFonts w:hint="eastAsia" w:ascii="仿宋_GB2312" w:hAnsi="仿宋" w:eastAsia="仿宋_GB2312" w:cs="仿宋_GB2312"/>
          <w:kern w:val="2"/>
          <w:sz w:val="32"/>
          <w:szCs w:val="32"/>
        </w:rPr>
      </w:pPr>
      <w:r>
        <w:rPr>
          <w:rFonts w:hint="eastAsia" w:ascii="仿宋_GB2312" w:hAnsi="仿宋" w:eastAsia="仿宋_GB2312" w:cs="仿宋_GB2312"/>
          <w:kern w:val="2"/>
          <w:sz w:val="32"/>
          <w:szCs w:val="32"/>
          <w:lang w:val="en-US" w:eastAsia="zh-CN" w:bidi="ar"/>
        </w:rPr>
        <w:t>除上述情形外，其他常规性的法律文本由法律事务部门内部审查人员进行初审。</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（四）初审流程</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楷体_GB2312" w:cs="Times New Roman"/>
          <w:kern w:val="2"/>
          <w:sz w:val="32"/>
          <w:szCs w:val="32"/>
        </w:rPr>
      </w:pPr>
      <w:r>
        <w:rPr>
          <w:rFonts w:hint="eastAsia" w:ascii="仿宋_GB2312" w:hAnsi="仿宋" w:eastAsia="仿宋_GB2312" w:cs="仿宋_GB2312"/>
          <w:kern w:val="2"/>
          <w:sz w:val="32"/>
          <w:szCs w:val="32"/>
          <w:lang w:val="en-US" w:eastAsia="zh-CN" w:bidi="ar"/>
        </w:rPr>
        <w:t>由法律事务部门人员进行初审的文本，由内部审查人员一人审查一人复核；根据前款所述，需由法律顾问进行初审的文本，法律顾问审查后，由内部审查人员进行复核。若相关文本涉及新产品、新业务、新政策、法律疑难以及存在较高法律风险的，在法律顾问审核后，可根据实际需要，组织公司律师内部讨论后出具内部书面审查意见。</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第十四条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复审环节</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一般法律文本由法律事务部门负责人开展复审工作。法律事务部门负责人应整体把控初审工作质量，法律审查意见能否有效防范法律风险。法律事务部门负责人对审查意见确认无异议后，签发意见。</w:t>
      </w:r>
    </w:p>
    <w:p>
      <w:pPr>
        <w:keepNext w:val="0"/>
        <w:keepLines w:val="0"/>
        <w:widowControl w:val="0"/>
        <w:suppressLineNumbers w:val="0"/>
        <w:spacing w:before="0" w:beforeAutospacing="0" w:after="0" w:afterAutospacing="0" w:line="540" w:lineRule="exact"/>
        <w:ind w:left="0" w:right="0" w:firstLine="640" w:firstLineChars="200"/>
        <w:jc w:val="both"/>
        <w:rPr>
          <w:rFonts w:hint="eastAsia" w:ascii="仿宋_GB2312" w:hAnsi="仿宋" w:eastAsia="仿宋_GB2312" w:cs="仿宋_GB2312"/>
          <w:kern w:val="2"/>
          <w:sz w:val="32"/>
          <w:szCs w:val="32"/>
        </w:rPr>
      </w:pPr>
      <w:r>
        <w:rPr>
          <w:rFonts w:hint="eastAsia" w:ascii="仿宋_GB2312" w:hAnsi="仿宋" w:eastAsia="仿宋_GB2312" w:cs="仿宋_GB2312"/>
          <w:kern w:val="2"/>
          <w:sz w:val="32"/>
          <w:szCs w:val="32"/>
          <w:lang w:val="en-US" w:eastAsia="zh-CN" w:bidi="ar"/>
        </w:rPr>
        <w:t>属于以下情形之一的法律文本，由法律事务部门负责人提交分管社领导进行最终审核：</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1.</w:t>
      </w:r>
      <w:r>
        <w:rPr>
          <w:rFonts w:hint="eastAsia" w:ascii="仿宋_GB2312" w:hAnsi="Times New Roman" w:eastAsia="仿宋_GB2312" w:cs="仿宋_GB2312"/>
          <w:kern w:val="2"/>
          <w:sz w:val="32"/>
          <w:szCs w:val="32"/>
          <w:lang w:val="en-US" w:eastAsia="zh-CN" w:bidi="ar"/>
        </w:rPr>
        <w:t>涉及省农信联社本级重大战略合作的；</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eastAsia" w:ascii="仿宋_GB2312" w:hAnsi="Times New Roman" w:eastAsia="仿宋_GB2312" w:cs="仿宋_GB2312"/>
          <w:kern w:val="2"/>
          <w:sz w:val="32"/>
          <w:szCs w:val="32"/>
          <w:lang w:val="en-US" w:eastAsia="zh-CN" w:bidi="ar"/>
        </w:rPr>
        <w:t>涉及对浙江农信业务发展产生重大影响的；</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3.</w:t>
      </w:r>
      <w:r>
        <w:rPr>
          <w:rFonts w:hint="eastAsia" w:ascii="仿宋_GB2312" w:hAnsi="Times New Roman" w:eastAsia="仿宋_GB2312" w:cs="仿宋_GB2312"/>
          <w:kern w:val="2"/>
          <w:sz w:val="32"/>
          <w:szCs w:val="32"/>
          <w:lang w:val="en-US" w:eastAsia="zh-CN" w:bidi="ar"/>
        </w:rPr>
        <w:t>首次签订的且合同金额大于</w:t>
      </w:r>
      <w:r>
        <w:rPr>
          <w:rFonts w:hint="default" w:ascii="Times New Roman" w:hAnsi="Times New Roman" w:eastAsia="仿宋_GB2312" w:cs="Times New Roman"/>
          <w:kern w:val="2"/>
          <w:sz w:val="32"/>
          <w:szCs w:val="32"/>
          <w:lang w:val="en-US" w:eastAsia="zh-CN" w:bidi="ar"/>
        </w:rPr>
        <w:t>1000</w:t>
      </w:r>
      <w:r>
        <w:rPr>
          <w:rFonts w:hint="eastAsia" w:ascii="仿宋_GB2312" w:hAnsi="Times New Roman" w:eastAsia="仿宋_GB2312" w:cs="仿宋_GB2312"/>
          <w:kern w:val="2"/>
          <w:sz w:val="32"/>
          <w:szCs w:val="32"/>
          <w:lang w:val="en-US" w:eastAsia="zh-CN" w:bidi="ar"/>
        </w:rPr>
        <w:t>万元（不含）的非格式合同或非示范合同；</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4.</w:t>
      </w:r>
      <w:r>
        <w:rPr>
          <w:rFonts w:hint="eastAsia" w:ascii="仿宋_GB2312" w:hAnsi="Times New Roman" w:eastAsia="仿宋_GB2312" w:cs="仿宋_GB2312"/>
          <w:kern w:val="2"/>
          <w:sz w:val="32"/>
          <w:szCs w:val="32"/>
          <w:lang w:val="en-US" w:eastAsia="zh-CN" w:bidi="ar"/>
        </w:rPr>
        <w:t>其他需要分管社领导最终审核的。</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第十五条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审查时限要求</w:t>
      </w:r>
    </w:p>
    <w:p>
      <w:pPr>
        <w:keepNext w:val="0"/>
        <w:keepLines w:val="0"/>
        <w:widowControl w:val="0"/>
        <w:suppressLineNumbers w:val="0"/>
        <w:adjustRightInd w:val="0"/>
        <w:snapToGrid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合法性审查一般应自收到送审文件次日起</w:t>
      </w:r>
      <w:r>
        <w:rPr>
          <w:rFonts w:hint="default" w:ascii="Times New Roman" w:hAnsi="Times New Roman" w:eastAsia="仿宋_GB2312" w:cs="Times New Roman"/>
          <w:kern w:val="2"/>
          <w:sz w:val="32"/>
          <w:szCs w:val="32"/>
          <w:lang w:val="en-US" w:eastAsia="zh-CN" w:bidi="ar"/>
        </w:rPr>
        <w:t>5</w:t>
      </w:r>
      <w:r>
        <w:rPr>
          <w:rFonts w:hint="eastAsia" w:ascii="仿宋_GB2312" w:hAnsi="Times New Roman" w:eastAsia="仿宋_GB2312" w:cs="仿宋_GB2312"/>
          <w:kern w:val="2"/>
          <w:sz w:val="32"/>
          <w:szCs w:val="32"/>
          <w:lang w:val="en-US" w:eastAsia="zh-CN" w:bidi="ar"/>
        </w:rPr>
        <w:t>个工作日内完成；涉及重大、复杂法律问题的，应自收到送审文件次日起</w:t>
      </w:r>
      <w:r>
        <w:rPr>
          <w:rFonts w:hint="default" w:ascii="Times New Roman" w:hAnsi="Times New Roman" w:eastAsia="仿宋_GB2312" w:cs="Times New Roman"/>
          <w:kern w:val="2"/>
          <w:sz w:val="32"/>
          <w:szCs w:val="32"/>
          <w:lang w:val="en-US" w:eastAsia="zh-CN" w:bidi="ar"/>
        </w:rPr>
        <w:t>8</w:t>
      </w:r>
      <w:r>
        <w:rPr>
          <w:rFonts w:hint="eastAsia" w:ascii="仿宋_GB2312" w:hAnsi="Times New Roman" w:eastAsia="仿宋_GB2312" w:cs="仿宋_GB2312"/>
          <w:kern w:val="2"/>
          <w:sz w:val="32"/>
          <w:szCs w:val="32"/>
          <w:lang w:val="en-US" w:eastAsia="zh-CN" w:bidi="ar"/>
        </w:rPr>
        <w:t>个工作日内完成；对于需进一步补充材料的，经通知送审部门，可以适当延长审查期限；对紧急文本应优先办理。</w:t>
      </w:r>
    </w:p>
    <w:p>
      <w:pPr>
        <w:keepNext w:val="0"/>
        <w:keepLines w:val="0"/>
        <w:widowControl w:val="0"/>
        <w:suppressLineNumbers w:val="0"/>
        <w:spacing w:before="0" w:beforeAutospacing="0" w:after="0" w:afterAutospacing="0" w:line="540" w:lineRule="exact"/>
        <w:ind w:left="0" w:right="0"/>
        <w:jc w:val="both"/>
        <w:rPr>
          <w:rFonts w:hint="default" w:ascii="Times New Roman" w:hAnsi="Times New Roman" w:eastAsia="仿宋_GB2312" w:cs="Times New Roman"/>
          <w:b/>
          <w:bCs w:val="0"/>
          <w:kern w:val="2"/>
          <w:sz w:val="32"/>
          <w:szCs w:val="32"/>
        </w:rPr>
      </w:pPr>
      <w:r>
        <w:rPr>
          <w:rFonts w:hint="default" w:ascii="Times New Roman" w:hAnsi="Times New Roman" w:eastAsia="仿宋_GB2312" w:cs="Times New Roman"/>
          <w:b/>
          <w:bCs w:val="0"/>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第五章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审查意见的效力与使用</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第十六条</w:t>
      </w:r>
      <w:r>
        <w:rPr>
          <w:rFonts w:hint="default" w:ascii="Times New Roman" w:hAnsi="Times New Roman" w:eastAsia="仿宋_GB2312" w:cs="Times New Roman"/>
          <w:b/>
          <w:bCs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合法性审查意见应明确、简洁、易懂，对送审部门必须接受的审查意见和可以结合实际情况自行酌定的审查意见区分为“应当修改”和“建议修改”，并进行必要说明。</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对于法律事务部门出具的审查意见中标明应当修改的部分，送审部门应当采纳。如有异议，应及时与法律事务部门沟通解决。经沟通后仍有异议而坚持不采纳法律事务部门审查意见的，应当在所涉文本签署前就未采纳的理由作出书面说明，并报送审部门分管社领导审批。</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对于法律事务部门出具的审查意见中标明建议修改的部分，送审部门可综合平衡法律、效益、风险等各方面因素进行决策。</w:t>
      </w:r>
    </w:p>
    <w:p>
      <w:pPr>
        <w:keepNext w:val="0"/>
        <w:keepLines w:val="0"/>
        <w:widowControl w:val="0"/>
        <w:suppressLineNumbers w:val="0"/>
        <w:spacing w:before="0" w:beforeAutospacing="0" w:after="0" w:afterAutospacing="0" w:line="56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第十七条</w:t>
      </w:r>
      <w:r>
        <w:rPr>
          <w:rFonts w:hint="default" w:ascii="Times New Roman" w:hAnsi="Times New Roman" w:eastAsia="仿宋_GB2312" w:cs="Times New Roman"/>
          <w:b/>
          <w:bCs w:val="0"/>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合法性审查意见的附载</w:t>
      </w:r>
    </w:p>
    <w:p>
      <w:pPr>
        <w:keepNext w:val="0"/>
        <w:keepLines w:val="0"/>
        <w:widowControl w:val="0"/>
        <w:suppressLineNumbers w:val="0"/>
        <w:spacing w:before="0" w:beforeAutospacing="0" w:after="0" w:afterAutospacing="0" w:line="56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对于经合法性审查的文本，送审部门在将该文本提交社领导审定或申请用印时，应同时提交法律事务部门出具的合法性审查意见单作为附件。</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default" w:ascii="Times New Roman" w:hAnsi="Times New Roman" w:eastAsia="黑体"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第六章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审查文件的归档管理</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第十八条</w:t>
      </w:r>
      <w:r>
        <w:rPr>
          <w:rFonts w:hint="default" w:ascii="Times New Roman" w:hAnsi="Times New Roman" w:eastAsia="仿宋_GB2312" w:cs="Times New Roman"/>
          <w:b/>
          <w:bCs w:val="0"/>
          <w:kern w:val="2"/>
          <w:sz w:val="32"/>
          <w:szCs w:val="32"/>
          <w:lang w:val="en-US" w:eastAsia="zh-CN" w:bidi="ar"/>
        </w:rPr>
        <w:t xml:space="preserve"> </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本办法所称合法性审查文件，是指合法性审查工作中涉及的具有保存价值的书面和电子文件材料。包括但不限于以下材料：</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（一）《省农信联社法律性文件文本审查单》；</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（二）送审资料；</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（三）外聘律师法律审查意见书；</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（四）公司律师出具的内部审查意见；</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（五）其他材料。</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第十九条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为实现合法性审查文件的信息化管理，法律事务部门应建立合法性审查工作专项台账，由专人负责台账登记管理工作，在台账中详细登记审查文本的收文时间、基本信息、具体办理过程和情况、办结时间等相关内容，并对审查文本依据第三条分类标准进行分类管理。</w:t>
      </w: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第二十条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对需要作保密处理的法律审查文件，应根据国家现行法律法规和我社的相关保密规定设定适当的密级和保密期限。</w:t>
      </w:r>
    </w:p>
    <w:p>
      <w:pPr>
        <w:keepNext w:val="0"/>
        <w:keepLines w:val="0"/>
        <w:widowControl w:val="0"/>
        <w:suppressLineNumbers w:val="0"/>
        <w:spacing w:before="0" w:beforeAutospacing="0" w:after="0" w:afterAutospacing="0" w:line="540" w:lineRule="exact"/>
        <w:ind w:left="0" w:right="0" w:firstLine="640" w:firstLineChars="200"/>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60" w:lineRule="exact"/>
        <w:ind w:left="0" w:right="0"/>
        <w:jc w:val="center"/>
        <w:rPr>
          <w:rFonts w:hint="default" w:ascii="Times New Roman" w:hAnsi="Times New Roman" w:eastAsia="黑体" w:cs="Times New Roman"/>
          <w:kern w:val="2"/>
          <w:sz w:val="32"/>
          <w:szCs w:val="32"/>
        </w:rPr>
      </w:pPr>
      <w:r>
        <w:rPr>
          <w:rFonts w:hint="eastAsia" w:ascii="黑体" w:hAnsi="宋体" w:eastAsia="黑体" w:cs="黑体"/>
          <w:kern w:val="2"/>
          <w:sz w:val="32"/>
          <w:szCs w:val="32"/>
          <w:lang w:val="en-US" w:eastAsia="zh-CN" w:bidi="ar"/>
        </w:rPr>
        <w:t>第七章</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附</w:t>
      </w:r>
      <w:r>
        <w:rPr>
          <w:rFonts w:hint="default" w:ascii="Times New Roman" w:hAnsi="Times New Roman" w:eastAsia="黑体" w:cs="Times New Roman"/>
          <w:kern w:val="2"/>
          <w:sz w:val="32"/>
          <w:szCs w:val="32"/>
          <w:lang w:val="en-US" w:eastAsia="zh-CN" w:bidi="ar"/>
        </w:rPr>
        <w:t xml:space="preserve">  </w:t>
      </w:r>
      <w:r>
        <w:rPr>
          <w:rFonts w:hint="eastAsia" w:ascii="黑体" w:hAnsi="宋体" w:eastAsia="黑体" w:cs="黑体"/>
          <w:kern w:val="2"/>
          <w:sz w:val="32"/>
          <w:szCs w:val="32"/>
          <w:lang w:val="en-US" w:eastAsia="zh-CN" w:bidi="ar"/>
        </w:rPr>
        <w:t>则</w:t>
      </w:r>
    </w:p>
    <w:p>
      <w:pPr>
        <w:keepNext w:val="0"/>
        <w:keepLines w:val="0"/>
        <w:widowControl w:val="0"/>
        <w:suppressLineNumbers w:val="0"/>
        <w:spacing w:before="0" w:beforeAutospacing="0" w:after="0" w:afterAutospacing="0" w:line="540" w:lineRule="exact"/>
        <w:ind w:left="0" w:right="0" w:firstLine="643" w:firstLineChars="20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b/>
          <w:bCs w:val="0"/>
          <w:kern w:val="2"/>
          <w:sz w:val="32"/>
          <w:szCs w:val="32"/>
          <w:lang w:val="en-US" w:eastAsia="zh-CN" w:bidi="ar"/>
        </w:rPr>
        <w:t>第二十一条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本规则由省农信联社风险合规部负责解释。</w:t>
      </w:r>
      <w:r>
        <w:rPr>
          <w:rFonts w:hint="default" w:ascii="Times New Roman" w:hAnsi="Times New Roman" w:eastAsia="仿宋_GB2312" w:cs="Times New Roman"/>
          <w:kern w:val="2"/>
          <w:sz w:val="32"/>
          <w:szCs w:val="32"/>
          <w:lang w:val="en-US" w:eastAsia="zh-CN" w:bidi="ar"/>
        </w:rPr>
        <w:t xml:space="preserve"> </w:t>
      </w:r>
    </w:p>
    <w:p>
      <w:pPr>
        <w:keepNext w:val="0"/>
        <w:keepLines w:val="0"/>
        <w:widowControl w:val="0"/>
        <w:suppressLineNumbers w:val="0"/>
        <w:spacing w:before="0" w:beforeAutospacing="0" w:after="0" w:afterAutospacing="0" w:line="540" w:lineRule="exact"/>
        <w:ind w:left="0" w:right="0" w:firstLine="643" w:firstLineChars="200"/>
        <w:jc w:val="both"/>
        <w:rPr>
          <w:rFonts w:hint="eastAsia" w:ascii="楷体_GB2312" w:hAnsi="Times New Roman" w:eastAsia="楷体_GB2312" w:cs="楷体_GB2312"/>
          <w:kern w:val="2"/>
          <w:sz w:val="32"/>
          <w:szCs w:val="32"/>
        </w:rPr>
      </w:pPr>
      <w:r>
        <w:rPr>
          <w:rFonts w:hint="eastAsia" w:ascii="仿宋_GB2312" w:hAnsi="Times New Roman" w:eastAsia="仿宋_GB2312" w:cs="仿宋_GB2312"/>
          <w:b/>
          <w:bCs w:val="0"/>
          <w:kern w:val="2"/>
          <w:sz w:val="32"/>
          <w:szCs w:val="32"/>
          <w:lang w:val="en-US" w:eastAsia="zh-CN" w:bidi="ar"/>
        </w:rPr>
        <w:t>第二十二条</w:t>
      </w:r>
      <w:r>
        <w:rPr>
          <w:rFonts w:hint="default" w:ascii="Times New Roman" w:hAnsi="Times New Roman" w:eastAsia="仿宋_GB2312" w:cs="Times New Roman"/>
          <w:kern w:val="2"/>
          <w:sz w:val="32"/>
          <w:szCs w:val="32"/>
          <w:lang w:val="en-US" w:eastAsia="zh-CN" w:bidi="ar"/>
        </w:rPr>
        <w:t xml:space="preserve">  </w:t>
      </w:r>
      <w:r>
        <w:rPr>
          <w:rFonts w:hint="eastAsia" w:ascii="仿宋_GB2312" w:hAnsi="Times New Roman" w:eastAsia="仿宋_GB2312" w:cs="仿宋_GB2312"/>
          <w:kern w:val="2"/>
          <w:sz w:val="32"/>
          <w:szCs w:val="32"/>
          <w:lang w:val="en-US" w:eastAsia="zh-CN" w:bidi="ar"/>
        </w:rPr>
        <w:t>本规则自印发之日起施行，原《省农信联社法律性文件文本合法性审查规则》（浙信联办</w:t>
      </w:r>
      <w:r>
        <w:rPr>
          <w:rFonts w:hint="eastAsia" w:ascii="楷体_GB2312" w:hAnsi="Times New Roman" w:eastAsia="楷体_GB2312" w:cs="楷体_GB2312"/>
          <w:kern w:val="2"/>
          <w:sz w:val="32"/>
          <w:szCs w:val="32"/>
          <w:lang w:val="en-US" w:eastAsia="zh-CN" w:bidi="ar"/>
        </w:rPr>
        <w:t>〔</w:t>
      </w:r>
      <w:r>
        <w:rPr>
          <w:rFonts w:hint="default" w:ascii="Times New Roman" w:hAnsi="Times New Roman" w:eastAsia="楷体_GB2312" w:cs="Times New Roman"/>
          <w:kern w:val="2"/>
          <w:sz w:val="32"/>
          <w:szCs w:val="32"/>
          <w:lang w:val="en-US" w:eastAsia="zh-CN" w:bidi="ar"/>
        </w:rPr>
        <w:t>2014</w:t>
      </w:r>
      <w:r>
        <w:rPr>
          <w:rFonts w:hint="eastAsia" w:ascii="楷体_GB2312" w:hAnsi="Times New Roman" w:eastAsia="楷体_GB2312" w:cs="楷体_GB2312"/>
          <w:kern w:val="2"/>
          <w:sz w:val="32"/>
          <w:szCs w:val="32"/>
          <w:lang w:val="en-US" w:eastAsia="zh-CN" w:bidi="ar"/>
        </w:rPr>
        <w:t>〕</w:t>
      </w:r>
      <w:r>
        <w:rPr>
          <w:rFonts w:hint="default" w:ascii="Times New Roman" w:hAnsi="Times New Roman" w:eastAsia="楷体_GB2312" w:cs="Times New Roman"/>
          <w:kern w:val="2"/>
          <w:sz w:val="32"/>
          <w:szCs w:val="32"/>
          <w:lang w:val="en-US" w:eastAsia="zh-CN" w:bidi="ar"/>
        </w:rPr>
        <w:t>86</w:t>
      </w:r>
      <w:r>
        <w:rPr>
          <w:rFonts w:hint="eastAsia" w:ascii="楷体_GB2312" w:hAnsi="Times New Roman" w:eastAsia="楷体_GB2312" w:cs="楷体_GB2312"/>
          <w:kern w:val="2"/>
          <w:sz w:val="32"/>
          <w:szCs w:val="32"/>
          <w:lang w:val="en-US" w:eastAsia="zh-CN" w:bidi="ar"/>
        </w:rPr>
        <w:t>号）</w:t>
      </w:r>
      <w:r>
        <w:rPr>
          <w:rFonts w:hint="eastAsia" w:ascii="仿宋_GB2312" w:hAnsi="Times New Roman" w:eastAsia="仿宋_GB2312" w:cs="仿宋_GB2312"/>
          <w:kern w:val="2"/>
          <w:sz w:val="32"/>
          <w:szCs w:val="32"/>
          <w:lang w:val="en-US" w:eastAsia="zh-CN" w:bidi="ar"/>
        </w:rPr>
        <w:t>同时废止。</w:t>
      </w:r>
    </w:p>
    <w:p>
      <w:pPr>
        <w:keepNext w:val="0"/>
        <w:keepLines w:val="0"/>
        <w:widowControl w:val="0"/>
        <w:suppressLineNumbers w:val="0"/>
        <w:spacing w:before="0" w:beforeAutospacing="0" w:after="0" w:afterAutospacing="0" w:line="560" w:lineRule="exact"/>
        <w:ind w:left="0" w:right="0" w:firstLine="630"/>
        <w:jc w:val="both"/>
        <w:rPr>
          <w:rFonts w:hint="default" w:ascii="Times New Roman" w:hAnsi="Times New Roman" w:eastAsia="仿宋_GB2312" w:cs="Times New Roman"/>
          <w:kern w:val="2"/>
          <w:sz w:val="32"/>
          <w:szCs w:val="32"/>
        </w:rPr>
      </w:pPr>
      <w:r>
        <w:rPr>
          <w:rFonts w:hint="eastAsia" w:ascii="仿宋_GB2312" w:hAnsi="Times New Roman" w:eastAsia="仿宋_GB2312" w:cs="仿宋_GB2312"/>
          <w:kern w:val="2"/>
          <w:sz w:val="32"/>
          <w:szCs w:val="32"/>
          <w:lang w:val="en-US" w:eastAsia="zh-CN" w:bidi="ar"/>
        </w:rPr>
        <w:t>附件：</w:t>
      </w:r>
      <w:r>
        <w:rPr>
          <w:rFonts w:hint="default" w:ascii="Times New Roman" w:hAnsi="Times New Roman" w:eastAsia="仿宋_GB2312" w:cs="Times New Roman"/>
          <w:kern w:val="2"/>
          <w:sz w:val="32"/>
          <w:szCs w:val="32"/>
          <w:lang w:val="en-US" w:eastAsia="zh-CN" w:bidi="ar"/>
        </w:rPr>
        <w:t>1.</w:t>
      </w:r>
      <w:r>
        <w:rPr>
          <w:rFonts w:hint="eastAsia" w:ascii="仿宋_GB2312" w:hAnsi="Times New Roman" w:eastAsia="仿宋_GB2312" w:cs="仿宋_GB2312"/>
          <w:kern w:val="2"/>
          <w:sz w:val="32"/>
          <w:szCs w:val="32"/>
          <w:lang w:val="en-US" w:eastAsia="zh-CN" w:bidi="ar"/>
        </w:rPr>
        <w:t>一般合同基本要素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2.</w:t>
      </w:r>
      <w:r>
        <w:rPr>
          <w:rFonts w:hint="eastAsia" w:ascii="仿宋_GB2312" w:hAnsi="Times New Roman" w:eastAsia="仿宋_GB2312" w:cs="仿宋_GB2312"/>
          <w:kern w:val="2"/>
          <w:sz w:val="32"/>
          <w:szCs w:val="32"/>
          <w:lang w:val="en-US" w:eastAsia="zh-CN" w:bidi="ar"/>
        </w:rPr>
        <w:t>采购合同基本要素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3.</w:t>
      </w:r>
      <w:r>
        <w:rPr>
          <w:rFonts w:hint="eastAsia" w:ascii="仿宋_GB2312" w:hAnsi="Times New Roman" w:eastAsia="仿宋_GB2312" w:cs="仿宋_GB2312"/>
          <w:kern w:val="2"/>
          <w:sz w:val="32"/>
          <w:szCs w:val="32"/>
          <w:lang w:val="en-US" w:eastAsia="zh-CN" w:bidi="ar"/>
        </w:rPr>
        <w:t>技术合同基本要素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4.</w:t>
      </w:r>
      <w:r>
        <w:rPr>
          <w:rFonts w:hint="eastAsia" w:ascii="仿宋_GB2312" w:hAnsi="Times New Roman" w:eastAsia="仿宋_GB2312" w:cs="仿宋_GB2312"/>
          <w:kern w:val="2"/>
          <w:sz w:val="32"/>
          <w:szCs w:val="32"/>
          <w:lang w:val="en-US" w:eastAsia="zh-CN" w:bidi="ar"/>
        </w:rPr>
        <w:t>建设工程合同基本要素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5.</w:t>
      </w:r>
      <w:r>
        <w:rPr>
          <w:rFonts w:hint="eastAsia" w:ascii="仿宋_GB2312" w:hAnsi="Times New Roman" w:eastAsia="仿宋_GB2312" w:cs="仿宋_GB2312"/>
          <w:kern w:val="2"/>
          <w:sz w:val="32"/>
          <w:szCs w:val="32"/>
          <w:lang w:val="en-US" w:eastAsia="zh-CN" w:bidi="ar"/>
        </w:rPr>
        <w:t>委托合同基本要素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6.</w:t>
      </w:r>
      <w:r>
        <w:rPr>
          <w:rFonts w:hint="eastAsia" w:ascii="仿宋_GB2312" w:hAnsi="Times New Roman" w:eastAsia="仿宋_GB2312" w:cs="仿宋_GB2312"/>
          <w:kern w:val="2"/>
          <w:sz w:val="32"/>
          <w:szCs w:val="32"/>
          <w:lang w:val="en-US" w:eastAsia="zh-CN" w:bidi="ar"/>
        </w:rPr>
        <w:t>租赁合同基本要素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7.</w:t>
      </w:r>
      <w:r>
        <w:rPr>
          <w:rFonts w:hint="eastAsia" w:ascii="仿宋_GB2312" w:hAnsi="Times New Roman" w:eastAsia="仿宋_GB2312" w:cs="仿宋_GB2312"/>
          <w:kern w:val="2"/>
          <w:sz w:val="32"/>
          <w:szCs w:val="32"/>
          <w:lang w:val="en-US" w:eastAsia="zh-CN" w:bidi="ar"/>
        </w:rPr>
        <w:t>承揽合同基本要素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8.</w:t>
      </w:r>
      <w:r>
        <w:rPr>
          <w:rFonts w:hint="eastAsia" w:ascii="仿宋_GB2312" w:hAnsi="Times New Roman" w:eastAsia="仿宋_GB2312" w:cs="仿宋_GB2312"/>
          <w:kern w:val="2"/>
          <w:sz w:val="32"/>
          <w:szCs w:val="32"/>
          <w:lang w:val="en-US" w:eastAsia="zh-CN" w:bidi="ar"/>
        </w:rPr>
        <w:t>战略合作协议基本要素</w:t>
      </w:r>
    </w:p>
    <w:p>
      <w:pPr>
        <w:keepNext w:val="0"/>
        <w:keepLines w:val="0"/>
        <w:widowControl w:val="0"/>
        <w:suppressLineNumbers w:val="0"/>
        <w:spacing w:before="0" w:beforeAutospacing="0" w:after="0" w:afterAutospacing="0" w:line="560" w:lineRule="exact"/>
        <w:ind w:left="0" w:right="0" w:firstLine="1584" w:firstLineChars="495"/>
        <w:jc w:val="both"/>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lang w:val="en-US" w:eastAsia="zh-CN" w:bidi="ar"/>
        </w:rPr>
        <w:t>9.</w:t>
      </w:r>
      <w:r>
        <w:rPr>
          <w:rFonts w:hint="eastAsia" w:ascii="仿宋_GB2312" w:hAnsi="Times New Roman" w:eastAsia="仿宋_GB2312" w:cs="仿宋_GB2312"/>
          <w:kern w:val="2"/>
          <w:sz w:val="32"/>
          <w:szCs w:val="32"/>
          <w:lang w:val="en-US" w:eastAsia="zh-CN" w:bidi="ar"/>
        </w:rPr>
        <w:t>资产托管协议基本要素</w:t>
      </w:r>
      <w:r>
        <w:rPr>
          <w:rFonts w:hint="default" w:ascii="Times New Roman" w:hAnsi="Times New Roman" w:eastAsia="仿宋_GB2312" w:cs="Times New Roman"/>
          <w:kern w:val="2"/>
          <w:sz w:val="32"/>
          <w:szCs w:val="32"/>
          <w:lang w:val="en-US" w:eastAsia="zh-CN" w:bidi="ar"/>
        </w:rPr>
        <w:tab/>
      </w:r>
    </w:p>
    <w:p>
      <w:pPr>
        <w:pStyle w:val="2"/>
        <w:widowControl/>
        <w:rPr>
          <w:rFonts w:hint="eastAsia" w:ascii="Arial" w:hAnsi="Arial" w:eastAsia="黑体" w:cs="黑体"/>
          <w:b/>
          <w:kern w:val="2"/>
          <w:sz w:val="32"/>
          <w:szCs w:val="32"/>
        </w:rPr>
      </w:pPr>
      <w:r>
        <w:rPr>
          <w:rFonts w:hint="eastAsia" w:ascii="Arial" w:hAnsi="Arial" w:eastAsia="黑体" w:cs="黑体"/>
          <w:b/>
          <w:kern w:val="2"/>
          <w:sz w:val="32"/>
          <w:szCs w:val="32"/>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default" w:ascii="Lucida Sans Unicode" w:hAnsi="Lucida Sans Unicode" w:eastAsia="仿宋_GB2312" w:cs="Lucida Sans Unicode"/>
          <w:kern w:val="2"/>
          <w:sz w:val="32"/>
          <w:szCs w:val="32"/>
        </w:rPr>
      </w:pPr>
      <w:r>
        <w:rPr>
          <w:rFonts w:hint="default" w:ascii="Lucida Sans Unicode" w:hAnsi="Lucida Sans Unicode" w:eastAsia="仿宋_GB2312" w:cs="Lucida Sans Unicode"/>
          <w:kern w:val="2"/>
          <w:sz w:val="32"/>
          <w:szCs w:val="32"/>
          <w:lang w:val="en-US" w:eastAsia="zh-CN" w:bidi="ar"/>
        </w:rPr>
        <w:t xml:space="preserve"> </w:t>
      </w:r>
    </w:p>
    <w:p>
      <w:pPr>
        <w:pStyle w:val="2"/>
        <w:widowControl/>
        <w:rPr>
          <w:rFonts w:hint="default" w:ascii="Arial" w:hAnsi="Arial" w:eastAsia="黑体" w:cs="Arial"/>
          <w:b/>
          <w:kern w:val="2"/>
          <w:sz w:val="32"/>
          <w:szCs w:val="32"/>
        </w:rPr>
      </w:pPr>
      <w:r>
        <w:rPr>
          <w:rFonts w:hint="default" w:ascii="Arial" w:hAnsi="Arial" w:eastAsia="黑体" w:cs="Arial"/>
          <w:b/>
          <w:kern w:val="2"/>
          <w:sz w:val="32"/>
          <w:szCs w:val="32"/>
        </w:rPr>
        <w:t xml:space="preserve"> </w:t>
      </w:r>
    </w:p>
    <w:p>
      <w:pPr>
        <w:keepNext w:val="0"/>
        <w:keepLines w:val="0"/>
        <w:widowControl w:val="0"/>
        <w:suppressLineNumbers w:val="0"/>
        <w:spacing w:before="0" w:beforeAutospacing="0" w:after="0" w:afterAutospacing="0"/>
        <w:ind w:left="0" w:right="0"/>
        <w:jc w:val="both"/>
        <w:rPr>
          <w:rFonts w:hint="eastAsia" w:ascii="仿宋_GB2312" w:eastAsia="仿宋_GB2312" w:cs="仿宋_GB2312"/>
          <w:kern w:val="2"/>
          <w:sz w:val="32"/>
          <w:szCs w:val="32"/>
        </w:rPr>
      </w:pPr>
      <w:r>
        <w:rPr>
          <w:rFonts w:hint="eastAsia" w:ascii="仿宋_GB2312" w:hAnsi="Lucida Sans Unicode" w:eastAsia="仿宋_GB2312" w:cs="仿宋_GB2312"/>
          <w:kern w:val="2"/>
          <w:sz w:val="32"/>
          <w:szCs w:val="32"/>
          <w:lang w:val="en-US" w:eastAsia="zh-CN" w:bidi="ar"/>
        </w:rPr>
        <w:t xml:space="preserve"> </w:t>
      </w:r>
    </w:p>
    <w:p>
      <w:pPr>
        <w:keepNext w:val="0"/>
        <w:keepLines w:val="0"/>
        <w:widowControl w:val="0"/>
        <w:suppressLineNumbers w:val="0"/>
        <w:pBdr>
          <w:top w:val="none" w:color="auto" w:sz="0" w:space="0"/>
          <w:left w:val="none" w:color="auto" w:sz="0" w:space="0"/>
          <w:bottom w:val="single" w:color="auto" w:sz="4" w:space="1"/>
          <w:right w:val="none" w:color="auto" w:sz="0" w:space="0"/>
        </w:pBdr>
        <w:spacing w:before="0" w:beforeAutospacing="0" w:after="0" w:afterAutospacing="0" w:line="100" w:lineRule="exact"/>
        <w:ind w:left="0" w:right="0"/>
        <w:jc w:val="both"/>
        <w:rPr>
          <w:rFonts w:hint="eastAsia" w:ascii="方正小标宋_GBK" w:hAnsi="方正小标宋_GBK" w:eastAsia="方正小标宋_GBK" w:cs="方正小标宋_GBK"/>
          <w:kern w:val="2"/>
          <w:sz w:val="32"/>
          <w:szCs w:val="32"/>
          <w:bdr w:val="none" w:color="auto" w:sz="0" w:space="0"/>
        </w:rPr>
      </w:pPr>
      <w:r>
        <w:rPr>
          <w:rFonts w:hint="eastAsia" w:ascii="方正小标宋_GBK" w:hAnsi="方正小标宋_GBK" w:eastAsia="方正小标宋_GBK" w:cs="方正小标宋_GBK"/>
          <w:kern w:val="2"/>
          <w:sz w:val="32"/>
          <w:szCs w:val="32"/>
          <w:bdr w:val="none" w:color="auto" w:sz="0" w:space="0"/>
          <w:lang w:val="en-US" w:eastAsia="zh-CN" w:bidi="ar"/>
        </w:rPr>
        <w:t xml:space="preserve"> </w:t>
      </w:r>
    </w:p>
    <w:p>
      <w:pPr>
        <w:keepNext w:val="0"/>
        <w:keepLines w:val="0"/>
        <w:widowControl w:val="0"/>
        <w:suppressLineNumbers w:val="0"/>
        <w:pBdr>
          <w:top w:val="none" w:color="auto" w:sz="0" w:space="0"/>
          <w:left w:val="none" w:color="auto" w:sz="0" w:space="0"/>
          <w:bottom w:val="single" w:color="auto" w:sz="6" w:space="2"/>
          <w:right w:val="none" w:color="auto" w:sz="0" w:space="0"/>
        </w:pBdr>
        <w:spacing w:before="0" w:beforeAutospacing="0" w:after="0" w:afterAutospacing="0" w:line="560" w:lineRule="exact"/>
        <w:ind w:left="0" w:right="0"/>
        <w:jc w:val="both"/>
        <w:rPr>
          <w:rFonts w:hint="eastAsia" w:ascii="Times New Roman" w:hAnsi="Times New Roman" w:eastAsia="仿宋" w:cs="仿宋"/>
          <w:kern w:val="2"/>
          <w:sz w:val="32"/>
          <w:szCs w:val="32"/>
          <w:bdr w:val="none" w:color="auto" w:sz="0" w:space="0"/>
        </w:rPr>
      </w:pPr>
      <w:r>
        <w:rPr>
          <w:rFonts w:hint="eastAsia" w:ascii="仿宋" w:hAnsi="仿宋" w:eastAsia="仿宋" w:cs="仿宋"/>
          <w:kern w:val="2"/>
          <w:sz w:val="32"/>
          <w:szCs w:val="32"/>
          <w:bdr w:val="none" w:color="auto" w:sz="0" w:space="0"/>
          <w:lang w:val="en-US" w:eastAsia="zh-CN" w:bidi="ar"/>
        </w:rPr>
        <w:t>抄</w:t>
      </w:r>
      <w:r>
        <w:rPr>
          <w:rFonts w:hint="eastAsia" w:ascii="Times New Roman" w:hAnsi="Times New Roman" w:eastAsia="仿宋" w:cs="仿宋"/>
          <w:kern w:val="2"/>
          <w:sz w:val="32"/>
          <w:szCs w:val="32"/>
          <w:bdr w:val="none" w:color="auto" w:sz="0" w:space="0"/>
          <w:lang w:val="en-US" w:eastAsia="zh-CN" w:bidi="ar"/>
        </w:rPr>
        <w:t xml:space="preserve">    </w:t>
      </w:r>
      <w:r>
        <w:rPr>
          <w:rFonts w:hint="eastAsia" w:ascii="仿宋" w:hAnsi="仿宋" w:eastAsia="仿宋" w:cs="仿宋"/>
          <w:kern w:val="2"/>
          <w:sz w:val="32"/>
          <w:szCs w:val="32"/>
          <w:bdr w:val="none" w:color="auto" w:sz="0" w:space="0"/>
          <w:lang w:val="en-US" w:eastAsia="zh-CN" w:bidi="ar"/>
        </w:rPr>
        <w:t>送：派驻纪检监察组。</w:t>
      </w:r>
    </w:p>
    <w:p>
      <w:pPr>
        <w:keepNext w:val="0"/>
        <w:keepLines w:val="0"/>
        <w:widowControl w:val="0"/>
        <w:suppressLineNumbers w:val="0"/>
        <w:pBdr>
          <w:top w:val="none" w:color="auto" w:sz="0" w:space="0"/>
          <w:left w:val="none" w:color="auto" w:sz="0" w:space="0"/>
          <w:bottom w:val="single" w:color="auto" w:sz="6" w:space="2"/>
          <w:right w:val="none" w:color="auto" w:sz="0" w:space="0"/>
        </w:pBdr>
        <w:spacing w:before="0" w:beforeAutospacing="0" w:after="0" w:afterAutospacing="0" w:line="560" w:lineRule="exact"/>
        <w:ind w:left="0" w:right="0"/>
        <w:jc w:val="both"/>
        <w:rPr>
          <w:rFonts w:hint="default" w:ascii="Times New Roman" w:hAnsi="Times New Roman" w:eastAsia="仿宋" w:cs="Times New Roman"/>
          <w:kern w:val="2"/>
          <w:sz w:val="32"/>
          <w:szCs w:val="32"/>
          <w:bdr w:val="none" w:color="auto" w:sz="0" w:space="0"/>
        </w:rPr>
      </w:pPr>
      <w:r>
        <w:rPr>
          <w:rFonts w:hint="eastAsia" w:ascii="仿宋" w:hAnsi="仿宋" w:eastAsia="仿宋" w:cs="仿宋"/>
          <w:kern w:val="2"/>
          <w:sz w:val="32"/>
          <w:szCs w:val="32"/>
          <w:bdr w:val="none" w:color="auto" w:sz="0" w:space="0"/>
          <w:lang w:val="en-US" w:eastAsia="zh-CN" w:bidi="ar"/>
        </w:rPr>
        <w:t>内部发送：社领导。</w:t>
      </w:r>
      <w:r>
        <w:rPr>
          <w:rFonts w:hint="default" w:ascii="Times New Roman" w:hAnsi="Times New Roman" w:eastAsia="仿宋" w:cs="Times New Roman"/>
          <w:kern w:val="2"/>
          <w:sz w:val="32"/>
          <w:szCs w:val="32"/>
          <w:bdr w:val="none" w:color="auto" w:sz="0" w:space="0"/>
          <w:lang w:val="en-US" w:eastAsia="zh-CN" w:bidi="ar"/>
        </w:rPr>
        <w:t xml:space="preserve">  </w:t>
      </w:r>
      <w:r>
        <w:rPr>
          <w:rFonts w:hint="eastAsia" w:ascii="Times New Roman" w:hAnsi="Times New Roman" w:eastAsia="仿宋" w:cs="仿宋"/>
          <w:kern w:val="2"/>
          <w:sz w:val="32"/>
          <w:szCs w:val="32"/>
          <w:bdr w:val="none" w:color="auto" w:sz="0" w:space="0"/>
          <w:lang w:val="en-US" w:eastAsia="zh-CN" w:bidi="ar"/>
        </w:rPr>
        <w:t xml:space="preserve">     </w:t>
      </w:r>
      <w:r>
        <w:rPr>
          <w:rFonts w:hint="default" w:ascii="Times New Roman" w:hAnsi="Times New Roman" w:eastAsia="仿宋" w:cs="Times New Roman"/>
          <w:kern w:val="2"/>
          <w:sz w:val="32"/>
          <w:szCs w:val="32"/>
          <w:bdr w:val="none" w:color="auto" w:sz="0" w:space="0"/>
          <w:lang w:val="en-US" w:eastAsia="zh-CN" w:bidi="ar"/>
        </w:rPr>
        <w:t xml:space="preserve">                  </w:t>
      </w:r>
      <w:r>
        <w:rPr>
          <w:rFonts w:hint="eastAsia" w:ascii="Times New Roman" w:hAnsi="Times New Roman" w:eastAsia="仿宋" w:cs="仿宋"/>
          <w:kern w:val="2"/>
          <w:sz w:val="32"/>
          <w:szCs w:val="32"/>
          <w:bdr w:val="none" w:color="auto" w:sz="0" w:space="0"/>
          <w:lang w:val="en-US" w:eastAsia="zh-CN" w:bidi="ar"/>
        </w:rPr>
        <w:t xml:space="preserve"> </w:t>
      </w:r>
      <w:r>
        <w:rPr>
          <w:rFonts w:hint="eastAsia" w:ascii="仿宋" w:hAnsi="仿宋" w:eastAsia="仿宋" w:cs="仿宋"/>
          <w:kern w:val="2"/>
          <w:sz w:val="32"/>
          <w:szCs w:val="32"/>
          <w:bdr w:val="none" w:color="auto" w:sz="0" w:space="0"/>
          <w:lang w:val="en-US" w:eastAsia="zh-CN" w:bidi="ar"/>
        </w:rPr>
        <w:t>（共印</w:t>
      </w:r>
      <w:r>
        <w:rPr>
          <w:rFonts w:hint="default" w:ascii="Times New Roman" w:hAnsi="Times New Roman" w:eastAsia="仿宋" w:cs="Times New Roman"/>
          <w:kern w:val="2"/>
          <w:sz w:val="32"/>
          <w:szCs w:val="32"/>
          <w:bdr w:val="none" w:color="auto" w:sz="0" w:space="0"/>
          <w:lang w:val="en-US" w:eastAsia="zh-CN" w:bidi="ar"/>
        </w:rPr>
        <w:t>13</w:t>
      </w:r>
      <w:r>
        <w:rPr>
          <w:rFonts w:hint="eastAsia" w:ascii="仿宋" w:hAnsi="仿宋" w:eastAsia="仿宋" w:cs="仿宋"/>
          <w:kern w:val="2"/>
          <w:sz w:val="32"/>
          <w:szCs w:val="32"/>
          <w:bdr w:val="none" w:color="auto" w:sz="0" w:space="0"/>
          <w:lang w:val="en-US" w:eastAsia="zh-CN" w:bidi="ar"/>
        </w:rPr>
        <w:t>份）</w:t>
      </w:r>
    </w:p>
    <w:p>
      <w:pPr>
        <w:keepNext w:val="0"/>
        <w:keepLines w:val="0"/>
        <w:widowControl w:val="0"/>
        <w:suppressLineNumbers w:val="0"/>
        <w:pBdr>
          <w:top w:val="none" w:color="auto" w:sz="0" w:space="0"/>
          <w:left w:val="none" w:color="auto" w:sz="0" w:space="0"/>
          <w:bottom w:val="single" w:color="auto" w:sz="4" w:space="0"/>
          <w:right w:val="none" w:color="auto" w:sz="0" w:space="0"/>
        </w:pBdr>
        <w:spacing w:before="0" w:beforeAutospacing="0" w:after="0" w:afterAutospacing="0" w:line="560" w:lineRule="exact"/>
        <w:ind w:left="0" w:right="0"/>
        <w:jc w:val="both"/>
        <w:rPr>
          <w:rFonts w:hint="eastAsia" w:ascii="Times New Roman" w:hAnsi="Times New Roman" w:eastAsia="仿宋" w:cs="仿宋"/>
          <w:kern w:val="0"/>
          <w:sz w:val="32"/>
          <w:szCs w:val="32"/>
          <w:bdr w:val="none" w:color="auto" w:sz="0" w:space="0"/>
        </w:rPr>
      </w:pPr>
      <w:r>
        <w:rPr>
          <w:rFonts w:hint="eastAsia" w:ascii="仿宋" w:hAnsi="仿宋" w:eastAsia="仿宋" w:cs="仿宋"/>
          <w:kern w:val="2"/>
          <w:sz w:val="32"/>
          <w:szCs w:val="32"/>
          <w:bdr w:val="none" w:color="auto" w:sz="0" w:space="0"/>
          <w:lang w:val="en-US" w:eastAsia="zh-CN" w:bidi="ar"/>
        </w:rPr>
        <w:t>联系人：风险合规部</w:t>
      </w:r>
      <w:r>
        <w:rPr>
          <w:rFonts w:hint="eastAsia" w:ascii="Times New Roman" w:hAnsi="Times New Roman" w:eastAsia="仿宋" w:cs="仿宋"/>
          <w:kern w:val="2"/>
          <w:sz w:val="32"/>
          <w:szCs w:val="32"/>
          <w:bdr w:val="none" w:color="auto" w:sz="0" w:space="0"/>
          <w:lang w:val="en-US" w:eastAsia="zh-CN" w:bidi="ar"/>
        </w:rPr>
        <w:t xml:space="preserve">  </w:t>
      </w:r>
      <w:r>
        <w:rPr>
          <w:rFonts w:hint="eastAsia" w:ascii="仿宋" w:hAnsi="仿宋" w:eastAsia="仿宋" w:cs="仿宋"/>
          <w:kern w:val="2"/>
          <w:sz w:val="32"/>
          <w:szCs w:val="32"/>
          <w:bdr w:val="none" w:color="auto" w:sz="0" w:space="0"/>
          <w:lang w:val="en-US" w:eastAsia="zh-CN" w:bidi="ar"/>
        </w:rPr>
        <w:t>吴</w:t>
      </w:r>
      <w:r>
        <w:rPr>
          <w:rFonts w:hint="eastAsia" w:ascii="Times New Roman" w:hAnsi="Times New Roman" w:eastAsia="仿宋" w:cs="仿宋"/>
          <w:kern w:val="2"/>
          <w:sz w:val="32"/>
          <w:szCs w:val="32"/>
          <w:bdr w:val="none" w:color="auto" w:sz="0" w:space="0"/>
          <w:lang w:val="en-US" w:eastAsia="zh-CN" w:bidi="ar"/>
        </w:rPr>
        <w:t xml:space="preserve">  </w:t>
      </w:r>
      <w:r>
        <w:rPr>
          <w:rFonts w:hint="eastAsia" w:ascii="仿宋" w:hAnsi="仿宋" w:eastAsia="仿宋" w:cs="仿宋"/>
          <w:kern w:val="2"/>
          <w:sz w:val="32"/>
          <w:szCs w:val="32"/>
          <w:bdr w:val="none" w:color="auto" w:sz="0" w:space="0"/>
          <w:lang w:val="en-US" w:eastAsia="zh-CN" w:bidi="ar"/>
        </w:rPr>
        <w:t>珊</w:t>
      </w:r>
      <w:r>
        <w:rPr>
          <w:rFonts w:hint="eastAsia" w:ascii="Times New Roman" w:hAnsi="Times New Roman" w:eastAsia="仿宋" w:cs="仿宋"/>
          <w:kern w:val="2"/>
          <w:sz w:val="32"/>
          <w:szCs w:val="32"/>
          <w:bdr w:val="none" w:color="auto" w:sz="0" w:space="0"/>
          <w:lang w:val="en-US" w:eastAsia="zh-CN" w:bidi="ar"/>
        </w:rPr>
        <w:t xml:space="preserve"> </w:t>
      </w:r>
      <w:r>
        <w:rPr>
          <w:rFonts w:hint="default" w:ascii="Times New Roman" w:hAnsi="Times New Roman" w:eastAsia="仿宋" w:cs="Times New Roman"/>
          <w:kern w:val="2"/>
          <w:sz w:val="32"/>
          <w:szCs w:val="32"/>
          <w:bdr w:val="none" w:color="auto" w:sz="0" w:space="0"/>
          <w:lang w:val="en-US" w:eastAsia="zh-CN" w:bidi="ar"/>
        </w:rPr>
        <w:t xml:space="preserve">          </w:t>
      </w:r>
      <w:r>
        <w:rPr>
          <w:rFonts w:hint="eastAsia" w:ascii="仿宋" w:hAnsi="仿宋" w:eastAsia="仿宋" w:cs="仿宋"/>
          <w:kern w:val="2"/>
          <w:sz w:val="32"/>
          <w:szCs w:val="32"/>
          <w:bdr w:val="none" w:color="auto" w:sz="0" w:space="0"/>
          <w:lang w:val="en-US" w:eastAsia="zh-CN" w:bidi="ar"/>
        </w:rPr>
        <w:t>电话：（</w:t>
      </w:r>
      <w:r>
        <w:rPr>
          <w:rFonts w:hint="default" w:ascii="Times New Roman" w:hAnsi="Times New Roman" w:eastAsia="仿宋" w:cs="Times New Roman"/>
          <w:kern w:val="2"/>
          <w:sz w:val="32"/>
          <w:szCs w:val="32"/>
          <w:bdr w:val="none" w:color="auto" w:sz="0" w:space="0"/>
          <w:lang w:val="en-US" w:eastAsia="zh-CN" w:bidi="ar"/>
        </w:rPr>
        <w:t>0571</w:t>
      </w:r>
      <w:r>
        <w:rPr>
          <w:rFonts w:hint="eastAsia" w:ascii="仿宋" w:hAnsi="仿宋" w:eastAsia="仿宋" w:cs="仿宋"/>
          <w:kern w:val="2"/>
          <w:sz w:val="32"/>
          <w:szCs w:val="32"/>
          <w:bdr w:val="none" w:color="auto" w:sz="0" w:space="0"/>
          <w:lang w:val="en-US" w:eastAsia="zh-CN" w:bidi="ar"/>
        </w:rPr>
        <w:t>）</w:t>
      </w:r>
      <w:r>
        <w:rPr>
          <w:rFonts w:hint="default" w:ascii="Times New Roman" w:hAnsi="Times New Roman" w:eastAsia="仿宋" w:cs="Times New Roman"/>
          <w:kern w:val="2"/>
          <w:sz w:val="32"/>
          <w:szCs w:val="32"/>
          <w:bdr w:val="none" w:color="auto" w:sz="0" w:space="0"/>
          <w:lang w:val="en-US" w:eastAsia="zh-CN" w:bidi="ar"/>
        </w:rPr>
        <w:t>87260779</w:t>
      </w:r>
    </w:p>
    <w:p>
      <w:pPr>
        <w:keepNext w:val="0"/>
        <w:keepLines w:val="0"/>
        <w:widowControl w:val="0"/>
        <w:suppressLineNumbers w:val="0"/>
        <w:spacing w:before="0" w:beforeAutospacing="0" w:after="0" w:afterAutospacing="0" w:line="460" w:lineRule="exact"/>
        <w:ind w:left="0" w:right="0"/>
        <w:jc w:val="both"/>
        <w:rPr>
          <w:rFonts w:hint="default" w:ascii="Times New Roman" w:hAnsi="Times New Roman" w:eastAsia="仿宋" w:cs="Times New Roman"/>
          <w:kern w:val="2"/>
          <w:sz w:val="32"/>
          <w:szCs w:val="32"/>
        </w:rPr>
      </w:pPr>
      <w:r>
        <w:rPr>
          <w:rFonts w:hint="eastAsia" w:ascii="仿宋" w:hAnsi="仿宋" w:eastAsia="仿宋" w:cs="仿宋"/>
          <w:kern w:val="2"/>
          <w:sz w:val="32"/>
          <w:szCs w:val="32"/>
          <w:lang w:val="en-US" w:eastAsia="zh-CN" w:bidi="ar"/>
        </w:rPr>
        <w:t>浙江省农村信用社联合社办公室</w:t>
      </w:r>
      <w:r>
        <w:rPr>
          <w:rFonts w:hint="default" w:ascii="Times New Roman" w:hAnsi="Times New Roman" w:eastAsia="仿宋" w:cs="Times New Roman"/>
          <w:kern w:val="2"/>
          <w:sz w:val="32"/>
          <w:szCs w:val="32"/>
          <w:lang w:val="en-US" w:eastAsia="zh-CN" w:bidi="ar"/>
        </w:rPr>
        <w:t xml:space="preserve">        2021</w:t>
      </w:r>
      <w:r>
        <w:rPr>
          <w:rFonts w:hint="eastAsia" w:ascii="仿宋" w:hAnsi="仿宋" w:eastAsia="仿宋" w:cs="仿宋"/>
          <w:kern w:val="2"/>
          <w:sz w:val="32"/>
          <w:szCs w:val="32"/>
          <w:lang w:val="en-US" w:eastAsia="zh-CN" w:bidi="ar"/>
        </w:rPr>
        <w:t>年</w:t>
      </w:r>
      <w:r>
        <w:rPr>
          <w:rFonts w:hint="default" w:ascii="Times New Roman" w:hAnsi="Times New Roman" w:eastAsia="仿宋" w:cs="Times New Roman"/>
          <w:kern w:val="2"/>
          <w:sz w:val="32"/>
          <w:szCs w:val="32"/>
          <w:lang w:val="en-US" w:eastAsia="zh-CN" w:bidi="ar"/>
        </w:rPr>
        <w:t>3</w:t>
      </w:r>
      <w:r>
        <w:rPr>
          <w:rFonts w:hint="eastAsia" w:ascii="仿宋" w:hAnsi="仿宋" w:eastAsia="仿宋" w:cs="仿宋"/>
          <w:kern w:val="2"/>
          <w:sz w:val="32"/>
          <w:szCs w:val="32"/>
          <w:lang w:val="en-US" w:eastAsia="zh-CN" w:bidi="ar"/>
        </w:rPr>
        <w:t>月</w:t>
      </w:r>
      <w:r>
        <w:rPr>
          <w:rFonts w:hint="default" w:ascii="Times New Roman" w:hAnsi="Times New Roman" w:eastAsia="仿宋" w:cs="Times New Roman"/>
          <w:kern w:val="2"/>
          <w:sz w:val="32"/>
          <w:szCs w:val="32"/>
          <w:lang w:val="en-US" w:eastAsia="zh-CN" w:bidi="ar"/>
        </w:rPr>
        <w:t>26</w:t>
      </w:r>
      <w:r>
        <w:rPr>
          <w:rFonts w:hint="eastAsia" w:ascii="仿宋" w:hAnsi="仿宋" w:eastAsia="仿宋" w:cs="仿宋"/>
          <w:kern w:val="2"/>
          <w:sz w:val="32"/>
          <w:szCs w:val="32"/>
          <w:lang w:val="en-US" w:eastAsia="zh-CN" w:bidi="ar"/>
        </w:rPr>
        <w:t>日印发</w:t>
      </w:r>
    </w:p>
    <w:p>
      <w:pPr>
        <w:keepNext w:val="0"/>
        <w:keepLines w:val="0"/>
        <w:widowControl w:val="0"/>
        <w:suppressLineNumbers w:val="0"/>
        <w:pBdr>
          <w:top w:val="none" w:color="auto" w:sz="0" w:space="0"/>
          <w:left w:val="none" w:color="auto" w:sz="0" w:space="0"/>
          <w:bottom w:val="single" w:color="auto" w:sz="4" w:space="1"/>
          <w:right w:val="none" w:color="auto" w:sz="0" w:space="0"/>
        </w:pBdr>
        <w:spacing w:before="0" w:beforeAutospacing="0" w:after="0" w:afterAutospacing="0" w:line="100" w:lineRule="exact"/>
        <w:ind w:left="0" w:right="0"/>
        <w:jc w:val="both"/>
        <w:rPr>
          <w:rFonts w:hint="eastAsia" w:ascii="方正小标宋_GBK" w:hAnsi="方正小标宋_GBK" w:eastAsia="方正小标宋_GBK" w:cs="方正小标宋_GBK"/>
          <w:kern w:val="2"/>
          <w:sz w:val="32"/>
          <w:szCs w:val="32"/>
          <w:bdr w:val="none" w:color="auto" w:sz="0" w:space="0"/>
        </w:rPr>
      </w:pPr>
    </w:p>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Lucida Sans Unicode">
    <w:panose1 w:val="020B0602030504020204"/>
    <w:charset w:val="00"/>
    <w:family w:val="auto"/>
    <w:pitch w:val="default"/>
    <w:sig w:usb0="80001AFF" w:usb1="0000396B" w:usb2="00000000" w:usb3="00000000" w:csb0="200000BF" w:csb1="D7F70000"/>
  </w:font>
  <w:font w:name="Arial">
    <w:panose1 w:val="020B0604020202020204"/>
    <w:charset w:val="00"/>
    <w:family w:val="auto"/>
    <w:pitch w:val="default"/>
    <w:sig w:usb0="E0002EFF" w:usb1="C000785B" w:usb2="00000009" w:usb3="00000000" w:csb0="400001FF" w:csb1="FFFF0000"/>
  </w:font>
  <w:font w:name="仿宋_GB2312">
    <w:panose1 w:val="0201060903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EB4579"/>
    <w:rsid w:val="015C2ED8"/>
    <w:rsid w:val="050779CC"/>
    <w:rsid w:val="05F016C8"/>
    <w:rsid w:val="0E993497"/>
    <w:rsid w:val="0FBA7A59"/>
    <w:rsid w:val="122969E5"/>
    <w:rsid w:val="15087FC1"/>
    <w:rsid w:val="16FE74B5"/>
    <w:rsid w:val="19443A48"/>
    <w:rsid w:val="260A66D0"/>
    <w:rsid w:val="27753B69"/>
    <w:rsid w:val="279A599C"/>
    <w:rsid w:val="2BB00401"/>
    <w:rsid w:val="2DA07461"/>
    <w:rsid w:val="2F2F6BF5"/>
    <w:rsid w:val="31AF3C62"/>
    <w:rsid w:val="34103354"/>
    <w:rsid w:val="344C7B48"/>
    <w:rsid w:val="423E792F"/>
    <w:rsid w:val="427062F2"/>
    <w:rsid w:val="431A6DC7"/>
    <w:rsid w:val="46E34D48"/>
    <w:rsid w:val="4BE505A2"/>
    <w:rsid w:val="519A6E3E"/>
    <w:rsid w:val="552C21C0"/>
    <w:rsid w:val="56DF21CC"/>
    <w:rsid w:val="56EB4579"/>
    <w:rsid w:val="5B73513E"/>
    <w:rsid w:val="600B251D"/>
    <w:rsid w:val="60616D11"/>
    <w:rsid w:val="694117AE"/>
    <w:rsid w:val="6C597981"/>
    <w:rsid w:val="6C7B495B"/>
    <w:rsid w:val="6DCD5DF5"/>
    <w:rsid w:val="73433B68"/>
    <w:rsid w:val="757A7C3D"/>
    <w:rsid w:val="763E5D8D"/>
    <w:rsid w:val="79A4625A"/>
    <w:rsid w:val="7FE71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widowControl w:val="0"/>
      <w:suppressLineNumbers w:val="0"/>
      <w:spacing w:before="260" w:beforeAutospacing="0" w:after="260" w:afterAutospacing="0" w:line="415" w:lineRule="auto"/>
      <w:jc w:val="both"/>
      <w:outlineLvl w:val="1"/>
    </w:pPr>
    <w:rPr>
      <w:rFonts w:hint="default" w:ascii="Arial" w:hAnsi="Arial" w:eastAsia="黑体" w:cs="Arial"/>
      <w:b/>
      <w:kern w:val="2"/>
      <w:sz w:val="32"/>
      <w:szCs w:val="32"/>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5">
    <w:name w:val="10"/>
    <w:basedOn w:val="4"/>
    <w:uiPriority w:val="0"/>
    <w:rPr>
      <w:rFonts w:hint="default" w:ascii="Lucida Sans Unicode" w:hAnsi="Lucida Sans Unicode" w:eastAsia="Lucida Sans Unicode" w:cs="Lucida Sans Unicode"/>
    </w:rPr>
  </w:style>
  <w:style w:type="character" w:customStyle="1" w:styleId="6">
    <w:name w:val="15"/>
    <w:basedOn w:val="4"/>
    <w:uiPriority w:val="0"/>
    <w:rPr>
      <w:rFonts w:hint="default" w:ascii="Lucida Sans Unicode" w:hAnsi="Lucida Sans Unicode" w:eastAsia="Lucida Sans Unicode" w:cs="Lucida Sans Unicod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中铁12局</Company>
  <Pages>1</Pages>
  <Words>0</Words>
  <Characters>0</Characters>
  <Lines>0</Lines>
  <Paragraphs>0</Paragraphs>
  <TotalTime>0</TotalTime>
  <ScaleCrop>false</ScaleCrop>
  <LinksUpToDate>false</LinksUpToDate>
  <CharactersWithSpaces>0</CharactersWithSpaces>
  <Application>WPS Office_11.8.2.8808_F1E327BC-269C-435d-A152-05C5408002CA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2026-04-24T08:25:00Z</dcterms:created>
  <dc:creator>吴珊</dc:creator>
  <cp:lastModifiedBy>吴珊</cp:lastModifiedBy>
  <dcterms:modified xsi:type="dcterms:W3CDTF">2026-04-24T08:26:10Z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