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0A3087" w14:textId="77777777" w:rsidR="002900AE" w:rsidRPr="00C85DD4" w:rsidRDefault="002900AE" w:rsidP="002900AE">
      <w:pPr>
        <w:pStyle w:val="7815"/>
        <w:spacing w:before="0" w:line="560" w:lineRule="exact"/>
        <w:contextualSpacing/>
        <w:jc w:val="both"/>
        <w:rPr>
          <w:rFonts w:eastAsia="仿宋_GB2312" w:hAnsi="Times New Roman" w:cs="Times New Roman"/>
          <w:b w:val="0"/>
          <w:sz w:val="32"/>
          <w:szCs w:val="32"/>
        </w:rPr>
      </w:pPr>
      <w:bookmarkStart w:id="0" w:name="_Toc455755885"/>
      <w:r w:rsidRPr="007D41E8">
        <w:rPr>
          <w:rFonts w:eastAsia="仿宋_GB2312" w:hAnsi="Times New Roman" w:cs="Times New Roman" w:hint="eastAsia"/>
          <w:b w:val="0"/>
          <w:sz w:val="32"/>
          <w:szCs w:val="32"/>
        </w:rPr>
        <w:t>附件</w:t>
      </w:r>
      <w:r w:rsidRPr="007D41E8">
        <w:rPr>
          <w:rFonts w:eastAsia="仿宋_GB2312" w:hAnsi="Times New Roman" w:cs="Times New Roman"/>
          <w:b w:val="0"/>
          <w:sz w:val="32"/>
          <w:szCs w:val="32"/>
        </w:rPr>
        <w:t>4</w:t>
      </w:r>
    </w:p>
    <w:p w14:paraId="20F461F8" w14:textId="3F084B85" w:rsidR="002900AE" w:rsidRPr="00E65C2E" w:rsidRDefault="002900AE" w:rsidP="002900AE">
      <w:pPr>
        <w:pStyle w:val="7815"/>
        <w:spacing w:before="0" w:line="560" w:lineRule="exact"/>
        <w:contextualSpacing/>
        <w:jc w:val="center"/>
        <w:rPr>
          <w:rFonts w:eastAsia="方正小标宋_GBK" w:hAnsi="Times New Roman" w:cs="Times New Roman"/>
          <w:b w:val="0"/>
          <w:sz w:val="36"/>
          <w:szCs w:val="36"/>
        </w:rPr>
      </w:pPr>
      <w:bookmarkStart w:id="1" w:name="_GoBack"/>
      <w:r w:rsidRPr="00E65C2E">
        <w:rPr>
          <w:rFonts w:eastAsia="方正小标宋_GBK" w:hAnsi="Times New Roman" w:cs="Times New Roman"/>
          <w:b w:val="0"/>
          <w:sz w:val="36"/>
          <w:szCs w:val="36"/>
        </w:rPr>
        <w:t>建设工程合同</w:t>
      </w:r>
      <w:bookmarkEnd w:id="0"/>
      <w:r w:rsidR="002C42D9" w:rsidRPr="00E65C2E">
        <w:rPr>
          <w:rFonts w:eastAsia="方正小标宋_GBK" w:hAnsi="Times New Roman" w:cs="Times New Roman" w:hint="eastAsia"/>
          <w:b w:val="0"/>
          <w:sz w:val="36"/>
          <w:szCs w:val="36"/>
        </w:rPr>
        <w:t>基本要素</w:t>
      </w:r>
    </w:p>
    <w:bookmarkEnd w:id="1"/>
    <w:p w14:paraId="5A5F200A" w14:textId="77777777" w:rsidR="002900AE" w:rsidRPr="00C85DD4" w:rsidRDefault="002900AE" w:rsidP="002900AE">
      <w:pPr>
        <w:pStyle w:val="7815"/>
        <w:spacing w:before="0" w:line="560" w:lineRule="exact"/>
        <w:contextualSpacing/>
        <w:jc w:val="both"/>
        <w:rPr>
          <w:rFonts w:eastAsia="仿宋_GB2312" w:hAnsi="Times New Roman" w:cs="Times New Roman"/>
          <w:sz w:val="32"/>
          <w:szCs w:val="32"/>
        </w:rPr>
      </w:pPr>
      <w:r w:rsidRPr="007D41E8">
        <w:rPr>
          <w:rFonts w:eastAsia="仿宋_GB2312" w:hAnsi="Times New Roman" w:cs="Times New Roman"/>
          <w:b w:val="0"/>
          <w:sz w:val="32"/>
          <w:szCs w:val="32"/>
        </w:rPr>
        <w:tab/>
      </w:r>
    </w:p>
    <w:p w14:paraId="0E5CFB46" w14:textId="4B06B001"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建设工程合同</w:t>
      </w:r>
      <w:r w:rsidR="002C42D9" w:rsidRPr="002C42D9">
        <w:rPr>
          <w:rFonts w:eastAsia="仿宋_GB2312" w:hAnsi="Times New Roman" w:cs="Times New Roman" w:hint="eastAsia"/>
          <w:b w:val="0"/>
          <w:sz w:val="32"/>
          <w:szCs w:val="32"/>
        </w:rPr>
        <w:t>基本要素</w:t>
      </w:r>
      <w:r w:rsidRPr="007D41E8">
        <w:rPr>
          <w:rFonts w:eastAsia="仿宋_GB2312" w:hAnsi="Times New Roman" w:cs="Times New Roman" w:hint="eastAsia"/>
          <w:b w:val="0"/>
          <w:sz w:val="32"/>
          <w:szCs w:val="32"/>
        </w:rPr>
        <w:t>适用于工程勘察合同、工程设计合同、工程施工合同等，</w:t>
      </w:r>
      <w:r w:rsidRPr="00E61CA0">
        <w:rPr>
          <w:rFonts w:eastAsia="仿宋_GB2312" w:hAnsi="Times New Roman" w:cs="Times New Roman" w:hint="eastAsia"/>
          <w:b w:val="0"/>
          <w:sz w:val="32"/>
          <w:szCs w:val="32"/>
        </w:rPr>
        <w:t>除适用一般合同</w:t>
      </w:r>
      <w:r w:rsidR="002C42D9" w:rsidRPr="002C42D9">
        <w:rPr>
          <w:rFonts w:eastAsia="仿宋_GB2312" w:hAnsi="Times New Roman" w:cs="Times New Roman" w:hint="eastAsia"/>
          <w:b w:val="0"/>
          <w:sz w:val="32"/>
          <w:szCs w:val="32"/>
        </w:rPr>
        <w:t>基本要素</w:t>
      </w:r>
      <w:r w:rsidRPr="00E61CA0">
        <w:rPr>
          <w:rFonts w:eastAsia="仿宋_GB2312" w:hAnsi="Times New Roman" w:cs="Times New Roman" w:hint="eastAsia"/>
          <w:b w:val="0"/>
          <w:sz w:val="32"/>
          <w:szCs w:val="32"/>
        </w:rPr>
        <w:t>外，还应注意以下事项，</w:t>
      </w:r>
      <w:r w:rsidRPr="007D41E8">
        <w:rPr>
          <w:rFonts w:eastAsia="仿宋_GB2312" w:hAnsi="Times New Roman" w:cs="Times New Roman" w:hint="eastAsia"/>
          <w:b w:val="0"/>
          <w:sz w:val="32"/>
          <w:szCs w:val="32"/>
        </w:rPr>
        <w:t>包括但不限于：</w:t>
      </w:r>
    </w:p>
    <w:p w14:paraId="20206587"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b w:val="0"/>
          <w:sz w:val="32"/>
          <w:szCs w:val="32"/>
        </w:rPr>
        <w:t>一、合同主体</w:t>
      </w:r>
    </w:p>
    <w:p w14:paraId="15E3AF42"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法律规定，从事建筑活动的单位，划分为不同的资质等级，经资质审查合格取得相应等级的资质证书后，方可在其资质等级许可的范围内从事建筑活动。因此，对于建设工程合同主体，除满足通用要求外，还应当注意承包方是否满足一定的资质要求：确定其资质证书的资质等级、有效期限等符合工程建设项目的要求，持证单位名称与承包单位名称一致。</w:t>
      </w:r>
    </w:p>
    <w:p w14:paraId="5AC727D4"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b w:val="0"/>
          <w:sz w:val="32"/>
          <w:szCs w:val="32"/>
        </w:rPr>
        <w:t>二、协议书内容</w:t>
      </w:r>
    </w:p>
    <w:p w14:paraId="254FDA57"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施工合同第一部分为协议书，概括约定施工合同的主要内容，如工程概况（工程名称、地点、内容）、承包范围、工期、质量标准、合同价款等。该部分属于合同主要的实质内容，应与项目审批文件一致（如属于招投标项目，则承包人名称、承包条件与中标结果一致），约定内容应具体、准确。</w:t>
      </w:r>
    </w:p>
    <w:p w14:paraId="03780BC8"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b w:val="0"/>
          <w:sz w:val="32"/>
          <w:szCs w:val="32"/>
        </w:rPr>
        <w:t>三、合同内容合法性</w:t>
      </w:r>
    </w:p>
    <w:p w14:paraId="2F68B8C5"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根据《合同法》、《建筑法》等相关法律规定，工程合同不得有以下违反法律、行政法规强制性规定的内容：</w:t>
      </w:r>
    </w:p>
    <w:p w14:paraId="5F85317C"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（一）将应当由一个承包人完成的建设工程肢解成若干部分</w:t>
      </w:r>
      <w:r w:rsidRPr="007D41E8">
        <w:rPr>
          <w:rFonts w:eastAsia="仿宋_GB2312" w:hAnsi="Times New Roman" w:cs="Times New Roman" w:hint="eastAsia"/>
          <w:b w:val="0"/>
          <w:sz w:val="32"/>
          <w:szCs w:val="32"/>
        </w:rPr>
        <w:lastRenderedPageBreak/>
        <w:t>发包给几个承包人。</w:t>
      </w:r>
    </w:p>
    <w:p w14:paraId="13C84CAC"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（二）承包人将其承包的全部建设工程转包给第三人或者将其承包的全部建设工程肢解以后以分包的名义分别转包给第三人。</w:t>
      </w:r>
    </w:p>
    <w:p w14:paraId="0632282C"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（三）同意承包人将工程分包给不具备相应资质条件的单位。</w:t>
      </w:r>
    </w:p>
    <w:p w14:paraId="4D3BD09D"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（四）同意分包单位将其承包的工程再分包。</w:t>
      </w:r>
    </w:p>
    <w:p w14:paraId="0ABEEC75"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（五）同意建设工程主体结构的</w:t>
      </w:r>
      <w:proofErr w:type="gramStart"/>
      <w:r w:rsidRPr="007D41E8">
        <w:rPr>
          <w:rFonts w:eastAsia="仿宋_GB2312" w:hAnsi="Times New Roman" w:cs="Times New Roman" w:hint="eastAsia"/>
          <w:b w:val="0"/>
          <w:sz w:val="32"/>
          <w:szCs w:val="32"/>
        </w:rPr>
        <w:t>施工非</w:t>
      </w:r>
      <w:proofErr w:type="gramEnd"/>
      <w:r w:rsidRPr="007D41E8">
        <w:rPr>
          <w:rFonts w:eastAsia="仿宋_GB2312" w:hAnsi="Times New Roman" w:cs="Times New Roman" w:hint="eastAsia"/>
          <w:b w:val="0"/>
          <w:sz w:val="32"/>
          <w:szCs w:val="32"/>
        </w:rPr>
        <w:t>由承包人自行完成。</w:t>
      </w:r>
    </w:p>
    <w:p w14:paraId="5981FAAD"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（六）合同约定建筑材料、建筑构配件和设备由工程承包单位采购的，发包单位指定承包单位购入用于工程的建筑材料、建筑构配件和设备或者指定生产厂、供应商。</w:t>
      </w:r>
    </w:p>
    <w:p w14:paraId="6A7AA533"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（七）将必须进行招标的项目化整为零或者以其他任何方式规避招标的。</w:t>
      </w:r>
    </w:p>
    <w:p w14:paraId="7E207402"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（八）与非中标人签订合同（也包括中标人向他人转让中标项目的情况）。</w:t>
      </w:r>
    </w:p>
    <w:p w14:paraId="3E0F72CD"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（九）不按照招标文件和中标人的投标文件订立书面合同，或再行订立背离合同实质性内容的其他协议。</w:t>
      </w:r>
    </w:p>
    <w:p w14:paraId="71B408E6"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（十）其他违反法律、行政法规强制性规定的内容。</w:t>
      </w:r>
    </w:p>
    <w:p w14:paraId="22C64502"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b w:val="0"/>
          <w:sz w:val="32"/>
          <w:szCs w:val="32"/>
        </w:rPr>
        <w:t>四、合同价款约定</w:t>
      </w:r>
    </w:p>
    <w:p w14:paraId="2B523578"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招标工程的合同价款由发包人与承包人依据招投标文件、中标通知书中的中标价格在协议书中约定，非招标工程的合同价款由发包人承包人依据工程预算书在协议书中约定。发包人、承包人应当在合同条款中对涉及工程价款结算的以下事项进行约定。</w:t>
      </w:r>
    </w:p>
    <w:p w14:paraId="0BDA0AF9"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（一）预付工程款的数额、支付时限及抵扣方式。</w:t>
      </w:r>
    </w:p>
    <w:p w14:paraId="46E3A5C8"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lastRenderedPageBreak/>
        <w:t>（二）工程进度款的支付方式、数额及时限。</w:t>
      </w:r>
    </w:p>
    <w:p w14:paraId="265BD3C2"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（三）工程施工中发生变更时，工程价款的调整方法、索赔方式、时限要求及金额支付方式。</w:t>
      </w:r>
    </w:p>
    <w:p w14:paraId="2BD774BF"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（四）发生工程价款纠纷的解决方法。</w:t>
      </w:r>
    </w:p>
    <w:p w14:paraId="03A690DE"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（五）约定承担风险的范围及幅度以及超出约定范围和幅度的调整办法。</w:t>
      </w:r>
    </w:p>
    <w:p w14:paraId="28104115"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（六）工程竣工价款的结算与支付方式、数额及时限。</w:t>
      </w:r>
    </w:p>
    <w:p w14:paraId="129D9175"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（七）工程质量保证（保修）金的数额、预</w:t>
      </w:r>
      <w:proofErr w:type="gramStart"/>
      <w:r w:rsidRPr="007D41E8">
        <w:rPr>
          <w:rFonts w:eastAsia="仿宋_GB2312" w:hAnsi="Times New Roman" w:cs="Times New Roman" w:hint="eastAsia"/>
          <w:b w:val="0"/>
          <w:sz w:val="32"/>
          <w:szCs w:val="32"/>
        </w:rPr>
        <w:t>扣方式</w:t>
      </w:r>
      <w:proofErr w:type="gramEnd"/>
      <w:r w:rsidRPr="007D41E8">
        <w:rPr>
          <w:rFonts w:eastAsia="仿宋_GB2312" w:hAnsi="Times New Roman" w:cs="Times New Roman" w:hint="eastAsia"/>
          <w:b w:val="0"/>
          <w:sz w:val="32"/>
          <w:szCs w:val="32"/>
        </w:rPr>
        <w:t>及时限。</w:t>
      </w:r>
    </w:p>
    <w:p w14:paraId="41E1EC47"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（八）安全措施和意外伤害保险费用。</w:t>
      </w:r>
    </w:p>
    <w:p w14:paraId="1332312B"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（九）工期及工期提前或延后的奖惩办法。</w:t>
      </w:r>
    </w:p>
    <w:p w14:paraId="0794FC24"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（十）与履行合同、支付价款相关的担保事项。</w:t>
      </w:r>
    </w:p>
    <w:p w14:paraId="7999A96C"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需要特别注意合同价款计价方式的约定内容。建设工程施工合同价款可以采用以下计价方式之一：固定价（固定总价或固定单价）、可调价、成本加酬金。合同工期较短且工程合同总价较低的工程，一般可以采用固定总价方式</w:t>
      </w:r>
      <w:r>
        <w:rPr>
          <w:rFonts w:eastAsia="仿宋_GB2312" w:hAnsi="Times New Roman" w:cs="Times New Roman" w:hint="eastAsia"/>
          <w:b w:val="0"/>
          <w:sz w:val="32"/>
          <w:szCs w:val="32"/>
        </w:rPr>
        <w:t>；</w:t>
      </w:r>
      <w:r w:rsidRPr="007D41E8">
        <w:rPr>
          <w:rFonts w:eastAsia="仿宋_GB2312" w:hAnsi="Times New Roman" w:cs="Times New Roman" w:hint="eastAsia"/>
          <w:b w:val="0"/>
          <w:sz w:val="32"/>
          <w:szCs w:val="32"/>
        </w:rPr>
        <w:t>固定单价的计价方式，是双方在合同中约定综合单价包含的风险范围和风险费用的计算方法，在约定的风险范围内综合单价不再调整，风险范围以外的综合单价调整方法由双方协商一致后在合同中约定。可调价格包括可调综合单价和措施费等，双方应在合同中约定综合单价和措施费的调整方法。成本加酬金计价方式，是指合同价款包括成本和酬金两部分，双方在专用条款中约定成本构成和酬金的计算方法。审核计价方式的约定内容应注意审核是否清楚明确地约定了计价方式及价格调整的风险范围和调整方法、上下文约定的计</w:t>
      </w:r>
      <w:r w:rsidRPr="007D41E8">
        <w:rPr>
          <w:rFonts w:eastAsia="仿宋_GB2312" w:hAnsi="Times New Roman" w:cs="Times New Roman" w:hint="eastAsia"/>
          <w:b w:val="0"/>
          <w:sz w:val="32"/>
          <w:szCs w:val="32"/>
        </w:rPr>
        <w:lastRenderedPageBreak/>
        <w:t>价方式是否一致等。</w:t>
      </w:r>
    </w:p>
    <w:p w14:paraId="170584DB"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五、价款支付条件、期限的约定</w:t>
      </w:r>
    </w:p>
    <w:p w14:paraId="49C67955"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关于合同价款支付的约定时，除了注意根据工程进度约定相应价款支付比例外，还需视审批流程所需期限等相关因素约定合理的付款期限，如在</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合同生效后</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工程竣工并经验收合格后</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这些常见的约定后补充一个具体的期限：</w:t>
      </w:r>
      <w:r w:rsidRPr="007D41E8">
        <w:rPr>
          <w:rFonts w:eastAsia="仿宋_GB2312" w:hAnsi="Times New Roman" w:cs="Times New Roman"/>
          <w:b w:val="0"/>
          <w:sz w:val="32"/>
          <w:szCs w:val="32"/>
        </w:rPr>
        <w:t>“××</w:t>
      </w:r>
      <w:proofErr w:type="gramStart"/>
      <w:r w:rsidRPr="007D41E8">
        <w:rPr>
          <w:rFonts w:eastAsia="仿宋_GB2312" w:hAnsi="Times New Roman" w:cs="Times New Roman" w:hint="eastAsia"/>
          <w:b w:val="0"/>
          <w:sz w:val="32"/>
          <w:szCs w:val="32"/>
        </w:rPr>
        <w:t>个</w:t>
      </w:r>
      <w:proofErr w:type="gramEnd"/>
      <w:r w:rsidRPr="007D41E8">
        <w:rPr>
          <w:rFonts w:eastAsia="仿宋_GB2312" w:hAnsi="Times New Roman" w:cs="Times New Roman" w:hint="eastAsia"/>
          <w:b w:val="0"/>
          <w:sz w:val="32"/>
          <w:szCs w:val="32"/>
        </w:rPr>
        <w:t>工作日内</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，以方便安排付款相关事宜，使</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能够在约定期限内按时付款，避免迟延支付。</w:t>
      </w:r>
    </w:p>
    <w:p w14:paraId="5E299F6C"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另外，如果双方约定了预付工程款，在具备施工条件的前提下，发包人一般应在双方签订合同后的</w:t>
      </w:r>
      <w:r w:rsidRPr="007D41E8">
        <w:rPr>
          <w:rFonts w:eastAsia="仿宋_GB2312" w:hAnsi="Times New Roman" w:cs="Times New Roman"/>
          <w:b w:val="0"/>
          <w:sz w:val="32"/>
          <w:szCs w:val="32"/>
        </w:rPr>
        <w:t>1</w:t>
      </w:r>
      <w:r w:rsidRPr="007D41E8">
        <w:rPr>
          <w:rFonts w:eastAsia="仿宋_GB2312" w:hAnsi="Times New Roman" w:cs="Times New Roman" w:hint="eastAsia"/>
          <w:b w:val="0"/>
          <w:sz w:val="32"/>
          <w:szCs w:val="32"/>
        </w:rPr>
        <w:t>个月内或不迟于约定的开工日期前的</w:t>
      </w:r>
      <w:r w:rsidRPr="007D41E8">
        <w:rPr>
          <w:rFonts w:eastAsia="仿宋_GB2312" w:hAnsi="Times New Roman" w:cs="Times New Roman"/>
          <w:b w:val="0"/>
          <w:sz w:val="32"/>
          <w:szCs w:val="32"/>
        </w:rPr>
        <w:t>7</w:t>
      </w:r>
      <w:r w:rsidRPr="007D41E8">
        <w:rPr>
          <w:rFonts w:eastAsia="仿宋_GB2312" w:hAnsi="Times New Roman" w:cs="Times New Roman" w:hint="eastAsia"/>
          <w:b w:val="0"/>
          <w:sz w:val="32"/>
          <w:szCs w:val="32"/>
        </w:rPr>
        <w:t>天内预付工程款，但是需要注意的是，具备施工条件是预付工程款的前提，凡是没有签订合同或不具备施工条件的工程，为了防范风险，发包人不应预付工程款。</w:t>
      </w:r>
    </w:p>
    <w:p w14:paraId="7DD5E180"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六、关于确认期限的约定</w:t>
      </w:r>
    </w:p>
    <w:p w14:paraId="1138E197"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通用条款中关于合同价款变更、工程量确认、竣工验收报告、竣工结算报告、索赔报告等均约定确认期限，并约定如超过约定期限未予答复将被视为认可。因此如果通用条款约定的各个确认期限根据各公司实际履行需要不够长，应在专用条款中进行变更，延长相应期限，以免因公司审核流程较长在未答复前已被视为认可的情况发生。</w:t>
      </w:r>
    </w:p>
    <w:p w14:paraId="4E331B85"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七、提交竣工资料的补充约定</w:t>
      </w:r>
    </w:p>
    <w:p w14:paraId="19B3A9F7"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通用条款</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竣工验收</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约定，工程具备竣工验收条件，承包人按国家工程竣工验收有关规定，向发包人提供完整竣工资料及竣</w:t>
      </w:r>
      <w:r w:rsidRPr="007D41E8">
        <w:rPr>
          <w:rFonts w:eastAsia="仿宋_GB2312" w:hAnsi="Times New Roman" w:cs="Times New Roman" w:hint="eastAsia"/>
          <w:b w:val="0"/>
          <w:sz w:val="32"/>
          <w:szCs w:val="32"/>
        </w:rPr>
        <w:lastRenderedPageBreak/>
        <w:t>工验收报告。关于承包人提供竣工图的具体内容，应当在专用条款内约定提供的期限和份数，以及竣工图编制费用是否包含在合同价款中。</w:t>
      </w:r>
    </w:p>
    <w:p w14:paraId="1C8C2ABF"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八、工程师、项目经理的权限</w:t>
      </w:r>
    </w:p>
    <w:p w14:paraId="485095D6"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为避免工程量认定纠纷的发生，在合同中应注意明确、具体地约定发包方工程师、总监理工程师以及承包方项目经理的权限，列明其姓名、职务、职权，工程师行使某些职权前需要征得发包人批准的，也应在合同中具体列明，发包人派驻施工场地履行合同的代表（即工程师）的职权不得与监理单位委派的总监理工程师职权相互交叉，双方职权发生交叉或不明确时，发包人应以书面形式予以明确。</w:t>
      </w:r>
    </w:p>
    <w:p w14:paraId="56911246"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九、违约责任的具体约定</w:t>
      </w:r>
    </w:p>
    <w:p w14:paraId="1676F7FA"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通用条款中对发包方、承包方的主要违约行为进行了约定，但通用条款的约定只是泛泛的约定，并不具有实际可操作性。违约方赔偿损失的计算方法或者支付违约金的数额或计算方法需要在专用条款中进行具体约定。</w:t>
      </w:r>
    </w:p>
    <w:p w14:paraId="6D13DE8D"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十、关于安全责任的约定</w:t>
      </w:r>
    </w:p>
    <w:p w14:paraId="2E4DB1EC"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对于施工中的安全责任，在示范文本通用条款中有专门的约定，发生安全事故后，不管建设单位是否有过错，有些受害人常常将建设单位一并作为共同被告起诉，为此建设单位常常花费大量人力、物力处理纠纷。建议在专用条款中补充约定：</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如因承包方发生安全事故等原因而使受害人通过投诉、起诉、信访等方式向发包方主张权利，承包方应承担发包方因此支出的调查费、</w:t>
      </w:r>
      <w:r w:rsidRPr="007D41E8">
        <w:rPr>
          <w:rFonts w:eastAsia="仿宋_GB2312" w:hAnsi="Times New Roman" w:cs="Times New Roman" w:hint="eastAsia"/>
          <w:b w:val="0"/>
          <w:sz w:val="32"/>
          <w:szCs w:val="32"/>
        </w:rPr>
        <w:lastRenderedPageBreak/>
        <w:t>律师费等合理费用，并可约定每发生一起安全事故，发包方有权要求承包方支付合同总价款</w:t>
      </w:r>
      <w:r w:rsidRPr="007D41E8">
        <w:rPr>
          <w:rFonts w:eastAsia="仿宋_GB2312" w:hAnsi="Times New Roman" w:cs="Times New Roman"/>
          <w:b w:val="0"/>
          <w:sz w:val="32"/>
          <w:szCs w:val="32"/>
        </w:rPr>
        <w:t>X</w:t>
      </w:r>
      <w:r w:rsidRPr="007D41E8">
        <w:rPr>
          <w:rFonts w:eastAsia="仿宋_GB2312" w:hAnsi="Times New Roman" w:cs="Times New Roman" w:hint="eastAsia"/>
          <w:b w:val="0"/>
          <w:sz w:val="32"/>
          <w:szCs w:val="32"/>
        </w:rPr>
        <w:t>％的违约金，可在工程款中直接扣除。</w:t>
      </w:r>
      <w:r w:rsidRPr="007D41E8">
        <w:rPr>
          <w:rFonts w:eastAsia="仿宋_GB2312" w:hAnsi="Times New Roman" w:cs="Times New Roman"/>
          <w:b w:val="0"/>
          <w:sz w:val="32"/>
          <w:szCs w:val="32"/>
        </w:rPr>
        <w:t>”</w:t>
      </w:r>
      <w:r w:rsidRPr="007D41E8">
        <w:rPr>
          <w:rFonts w:eastAsia="仿宋_GB2312" w:hAnsi="Times New Roman" w:cs="Times New Roman" w:hint="eastAsia"/>
          <w:b w:val="0"/>
          <w:sz w:val="32"/>
          <w:szCs w:val="32"/>
        </w:rPr>
        <w:t>同时，除要求承包方投保意外伤害保险之外，为职工、农民工投保工伤保险，做到应保尽保。</w:t>
      </w:r>
    </w:p>
    <w:p w14:paraId="75AF7762" w14:textId="77777777" w:rsidR="002900AE" w:rsidRPr="00C85DD4" w:rsidRDefault="002900AE" w:rsidP="002900AE">
      <w:pPr>
        <w:pStyle w:val="7815"/>
        <w:spacing w:before="0" w:line="560" w:lineRule="exact"/>
        <w:ind w:firstLineChars="200" w:firstLine="640"/>
        <w:contextualSpacing/>
        <w:jc w:val="both"/>
        <w:outlineLvl w:val="0"/>
        <w:rPr>
          <w:rFonts w:eastAsia="黑体" w:hAnsi="Times New Roman" w:cs="Times New Roman"/>
          <w:b w:val="0"/>
          <w:sz w:val="32"/>
          <w:szCs w:val="32"/>
        </w:rPr>
      </w:pPr>
      <w:r w:rsidRPr="007D41E8">
        <w:rPr>
          <w:rFonts w:eastAsia="黑体" w:hAnsi="Times New Roman" w:cs="Times New Roman" w:hint="eastAsia"/>
          <w:b w:val="0"/>
          <w:sz w:val="32"/>
          <w:szCs w:val="32"/>
        </w:rPr>
        <w:t>十一、保修责任条款的约定</w:t>
      </w:r>
    </w:p>
    <w:p w14:paraId="6783E3D5" w14:textId="77777777" w:rsidR="002900AE" w:rsidRPr="00C85DD4" w:rsidRDefault="002900AE" w:rsidP="002900AE">
      <w:pPr>
        <w:pStyle w:val="7815"/>
        <w:spacing w:before="0" w:line="560" w:lineRule="exact"/>
        <w:ind w:firstLineChars="200" w:firstLine="640"/>
        <w:contextualSpacing/>
        <w:jc w:val="both"/>
        <w:rPr>
          <w:rFonts w:eastAsia="仿宋_GB2312" w:hAnsi="Times New Roman" w:cs="Times New Roman"/>
          <w:b w:val="0"/>
          <w:sz w:val="32"/>
          <w:szCs w:val="32"/>
        </w:rPr>
      </w:pPr>
      <w:r w:rsidRPr="007D41E8">
        <w:rPr>
          <w:rFonts w:eastAsia="仿宋_GB2312" w:hAnsi="Times New Roman" w:cs="Times New Roman" w:hint="eastAsia"/>
          <w:b w:val="0"/>
          <w:sz w:val="32"/>
          <w:szCs w:val="32"/>
        </w:rPr>
        <w:t>在提交工程竣工验收报告时，施工单位应当出具质量保修书。质量保修书中应当明确建设工程的质量保修项目内容及范围、质量保修期限、质量保修责任、质量保修金的支付方法等。在保修期限内，工程质量出现问题时对方的反应机制问题，反映时限问题，工程维修的费用承担问题等，都应当在保修条款中做详细约定。</w:t>
      </w:r>
    </w:p>
    <w:p w14:paraId="49C85EAF" w14:textId="77777777" w:rsidR="002900AE" w:rsidRPr="00C85DD4" w:rsidRDefault="002900AE" w:rsidP="002900AE">
      <w:pPr>
        <w:pStyle w:val="7815"/>
        <w:spacing w:before="0" w:line="560" w:lineRule="exact"/>
        <w:contextualSpacing/>
        <w:jc w:val="both"/>
        <w:rPr>
          <w:rFonts w:eastAsia="仿宋_GB2312" w:hAnsi="Times New Roman" w:cs="Times New Roman"/>
          <w:b w:val="0"/>
          <w:sz w:val="32"/>
          <w:szCs w:val="32"/>
        </w:rPr>
      </w:pPr>
    </w:p>
    <w:p w14:paraId="26E54687" w14:textId="77777777" w:rsidR="002900AE" w:rsidRPr="00C85DD4" w:rsidRDefault="002900AE" w:rsidP="002900AE">
      <w:pPr>
        <w:pStyle w:val="7815"/>
        <w:spacing w:before="0" w:line="560" w:lineRule="exact"/>
        <w:contextualSpacing/>
        <w:jc w:val="both"/>
        <w:rPr>
          <w:rFonts w:eastAsia="仿宋_GB2312" w:hAnsi="Times New Roman" w:cs="Times New Roman"/>
          <w:b w:val="0"/>
          <w:sz w:val="32"/>
          <w:szCs w:val="32"/>
        </w:rPr>
      </w:pPr>
    </w:p>
    <w:p w14:paraId="47A72960" w14:textId="77777777" w:rsidR="005A4C3F" w:rsidRPr="002900AE" w:rsidRDefault="005A4C3F"/>
    <w:sectPr w:rsidR="005A4C3F" w:rsidRPr="002900AE" w:rsidSect="00F319A2">
      <w:footerReference w:type="default" r:id="rId6"/>
      <w:pgSz w:w="11906" w:h="16838"/>
      <w:pgMar w:top="1814" w:right="1474" w:bottom="1588"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6D0049" w14:textId="77777777" w:rsidR="00510CF4" w:rsidRDefault="00510CF4" w:rsidP="00F319A2">
      <w:pPr>
        <w:spacing w:line="240" w:lineRule="auto"/>
      </w:pPr>
      <w:r>
        <w:separator/>
      </w:r>
    </w:p>
  </w:endnote>
  <w:endnote w:type="continuationSeparator" w:id="0">
    <w:p w14:paraId="2DE8AD43" w14:textId="77777777" w:rsidR="00510CF4" w:rsidRDefault="00510CF4" w:rsidP="00F319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0AFF" w:usb1="00007843" w:usb2="00000001" w:usb3="00000000" w:csb0="000001B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0219447"/>
      <w:docPartObj>
        <w:docPartGallery w:val="Page Numbers (Bottom of Page)"/>
        <w:docPartUnique/>
      </w:docPartObj>
    </w:sdtPr>
    <w:sdtEndPr/>
    <w:sdtContent>
      <w:p w14:paraId="53F0EC2C" w14:textId="33B6D2A1" w:rsidR="002C42D9" w:rsidRDefault="002C42D9">
        <w:pPr>
          <w:pStyle w:val="a4"/>
          <w:jc w:val="center"/>
        </w:pPr>
        <w:r>
          <w:fldChar w:fldCharType="begin"/>
        </w:r>
        <w:r>
          <w:instrText>PAGE   \* MERGEFORMAT</w:instrText>
        </w:r>
        <w:r>
          <w:fldChar w:fldCharType="separate"/>
        </w:r>
        <w:r w:rsidR="00E65C2E" w:rsidRPr="00E65C2E">
          <w:rPr>
            <w:noProof/>
            <w:lang w:val="zh-CN"/>
          </w:rPr>
          <w:t>6</w:t>
        </w:r>
        <w:r>
          <w:fldChar w:fldCharType="end"/>
        </w:r>
      </w:p>
    </w:sdtContent>
  </w:sdt>
  <w:p w14:paraId="1A9A1C63" w14:textId="77777777" w:rsidR="002C42D9" w:rsidRDefault="002C42D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CAD73A" w14:textId="77777777" w:rsidR="00510CF4" w:rsidRDefault="00510CF4" w:rsidP="00F319A2">
      <w:pPr>
        <w:spacing w:line="240" w:lineRule="auto"/>
      </w:pPr>
      <w:r>
        <w:separator/>
      </w:r>
    </w:p>
  </w:footnote>
  <w:footnote w:type="continuationSeparator" w:id="0">
    <w:p w14:paraId="65C7EC7B" w14:textId="77777777" w:rsidR="00510CF4" w:rsidRDefault="00510CF4" w:rsidP="00F319A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BD"/>
    <w:rsid w:val="002900AE"/>
    <w:rsid w:val="002C42D9"/>
    <w:rsid w:val="00510CF4"/>
    <w:rsid w:val="00561829"/>
    <w:rsid w:val="005A4C3F"/>
    <w:rsid w:val="007B6FEA"/>
    <w:rsid w:val="00AF261C"/>
    <w:rsid w:val="00CD4D9B"/>
    <w:rsid w:val="00E35B3B"/>
    <w:rsid w:val="00E65C2E"/>
    <w:rsid w:val="00EA42BD"/>
    <w:rsid w:val="00F31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E9C29"/>
  <w15:chartTrackingRefBased/>
  <w15:docId w15:val="{110B66F3-2C09-49A9-A82F-E1A05BC9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19A2"/>
    <w:pPr>
      <w:widowControl w:val="0"/>
      <w:spacing w:line="560" w:lineRule="exact"/>
      <w:jc w:val="both"/>
    </w:pPr>
    <w:rPr>
      <w:rFonts w:eastAsia="仿宋_GB2312"/>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319A2"/>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Char">
    <w:name w:val="页眉 Char"/>
    <w:basedOn w:val="a0"/>
    <w:link w:val="a3"/>
    <w:uiPriority w:val="99"/>
    <w:rsid w:val="00F319A2"/>
    <w:rPr>
      <w:sz w:val="18"/>
      <w:szCs w:val="18"/>
    </w:rPr>
  </w:style>
  <w:style w:type="paragraph" w:styleId="a4">
    <w:name w:val="footer"/>
    <w:basedOn w:val="a"/>
    <w:link w:val="Char0"/>
    <w:uiPriority w:val="99"/>
    <w:unhideWhenUsed/>
    <w:rsid w:val="00F319A2"/>
    <w:pPr>
      <w:tabs>
        <w:tab w:val="center" w:pos="4153"/>
        <w:tab w:val="right" w:pos="8306"/>
      </w:tabs>
      <w:snapToGrid w:val="0"/>
      <w:spacing w:line="240" w:lineRule="auto"/>
      <w:jc w:val="left"/>
    </w:pPr>
    <w:rPr>
      <w:rFonts w:eastAsiaTheme="minorEastAsia"/>
      <w:sz w:val="18"/>
      <w:szCs w:val="18"/>
    </w:rPr>
  </w:style>
  <w:style w:type="character" w:customStyle="1" w:styleId="Char0">
    <w:name w:val="页脚 Char"/>
    <w:basedOn w:val="a0"/>
    <w:link w:val="a4"/>
    <w:uiPriority w:val="99"/>
    <w:rsid w:val="00F319A2"/>
    <w:rPr>
      <w:sz w:val="18"/>
      <w:szCs w:val="18"/>
    </w:rPr>
  </w:style>
  <w:style w:type="paragraph" w:customStyle="1" w:styleId="7815">
    <w:name w:val="样式 (符号) 宋体 二号 加粗 居中 段前: 7.8 磅 行距: 1.5 倍行距"/>
    <w:basedOn w:val="a"/>
    <w:rsid w:val="002900AE"/>
    <w:pPr>
      <w:spacing w:before="156" w:line="360" w:lineRule="auto"/>
      <w:jc w:val="left"/>
    </w:pPr>
    <w:rPr>
      <w:rFonts w:ascii="Times New Roman" w:eastAsia="宋体" w:hAnsi="宋体" w:cs="宋体"/>
      <w:b/>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办公室文印</cp:lastModifiedBy>
  <cp:revision>6</cp:revision>
  <dcterms:created xsi:type="dcterms:W3CDTF">2017-12-08T01:32:00Z</dcterms:created>
  <dcterms:modified xsi:type="dcterms:W3CDTF">2021-03-26T07:43:00Z</dcterms:modified>
</cp:coreProperties>
</file>