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FB0BE2" w14:textId="77777777" w:rsidR="00C761BE" w:rsidRDefault="00C761BE" w:rsidP="00C761BE">
      <w:pPr>
        <w:widowControl/>
        <w:spacing w:line="240" w:lineRule="auto"/>
        <w:rPr>
          <w:rFonts w:ascii="Times New Roman" w:hAnsi="Times New Roman" w:cs="Times New Roman"/>
          <w:szCs w:val="32"/>
        </w:rPr>
      </w:pPr>
      <w:r>
        <w:rPr>
          <w:rFonts w:ascii="Times New Roman" w:hAnsi="Times New Roman" w:cs="Times New Roman" w:hint="eastAsia"/>
          <w:szCs w:val="32"/>
        </w:rPr>
        <w:t>附件</w:t>
      </w:r>
      <w:r>
        <w:rPr>
          <w:rFonts w:ascii="Times New Roman" w:hAnsi="Times New Roman" w:cs="Times New Roman" w:hint="eastAsia"/>
          <w:szCs w:val="32"/>
        </w:rPr>
        <w:t>9</w:t>
      </w:r>
    </w:p>
    <w:p w14:paraId="1903C82D" w14:textId="6F42F094" w:rsidR="00C761BE" w:rsidRPr="00550968" w:rsidRDefault="00C761BE" w:rsidP="00C761BE">
      <w:pPr>
        <w:pStyle w:val="7815"/>
        <w:spacing w:before="0" w:line="560" w:lineRule="exact"/>
        <w:contextualSpacing/>
        <w:jc w:val="center"/>
        <w:rPr>
          <w:rFonts w:eastAsia="方正小标宋_GBK" w:hAnsi="Times New Roman" w:cs="Times New Roman"/>
          <w:b w:val="0"/>
          <w:sz w:val="36"/>
          <w:szCs w:val="36"/>
        </w:rPr>
      </w:pPr>
      <w:bookmarkStart w:id="0" w:name="_GoBack"/>
      <w:r w:rsidRPr="00550968">
        <w:rPr>
          <w:rFonts w:eastAsia="方正小标宋_GBK" w:hAnsi="Times New Roman" w:cs="Times New Roman" w:hint="eastAsia"/>
          <w:b w:val="0"/>
          <w:sz w:val="36"/>
          <w:szCs w:val="36"/>
        </w:rPr>
        <w:t>资产托管协议</w:t>
      </w:r>
      <w:r w:rsidR="00575897" w:rsidRPr="00550968">
        <w:rPr>
          <w:rFonts w:eastAsia="方正小标宋_GBK" w:hAnsi="Times New Roman" w:cs="Times New Roman" w:hint="eastAsia"/>
          <w:b w:val="0"/>
          <w:sz w:val="36"/>
          <w:szCs w:val="36"/>
        </w:rPr>
        <w:t>基本要素</w:t>
      </w:r>
    </w:p>
    <w:bookmarkEnd w:id="0"/>
    <w:p w14:paraId="41232F8E" w14:textId="77777777" w:rsidR="00C761BE" w:rsidRDefault="00C761BE" w:rsidP="00C761BE"/>
    <w:p w14:paraId="7DE41FD1" w14:textId="57E1B4AA" w:rsidR="00C761BE" w:rsidRDefault="00C761BE" w:rsidP="00C761BE">
      <w:pPr>
        <w:ind w:firstLineChars="200" w:firstLine="640"/>
      </w:pPr>
      <w:r>
        <w:rPr>
          <w:rFonts w:hint="eastAsia"/>
        </w:rPr>
        <w:t>资产托管协议</w:t>
      </w:r>
      <w:r w:rsidR="00575897" w:rsidRPr="00575897">
        <w:rPr>
          <w:rFonts w:hint="eastAsia"/>
        </w:rPr>
        <w:t>基本要素</w:t>
      </w:r>
      <w:r>
        <w:rPr>
          <w:rFonts w:hint="eastAsia"/>
        </w:rPr>
        <w:t>适用于省农信联社组织辖内机构募集发行理财产品后委托他行托管理财资产涉及的协议，包括理财产品托管协议等相关协议。除适用一般合同</w:t>
      </w:r>
      <w:r w:rsidR="00575897" w:rsidRPr="00575897">
        <w:rPr>
          <w:rFonts w:hint="eastAsia"/>
        </w:rPr>
        <w:t>基本要素</w:t>
      </w:r>
      <w:r>
        <w:rPr>
          <w:rFonts w:hint="eastAsia"/>
        </w:rPr>
        <w:t>外，还应注意以下事项，包括但不限于：</w:t>
      </w:r>
    </w:p>
    <w:p w14:paraId="33A58ED6" w14:textId="77777777" w:rsidR="00C761BE" w:rsidRPr="00C17378" w:rsidRDefault="00C761BE" w:rsidP="00C761BE">
      <w:pPr>
        <w:pStyle w:val="7815"/>
        <w:spacing w:before="0" w:line="560" w:lineRule="exact"/>
        <w:ind w:firstLineChars="200" w:firstLine="640"/>
        <w:contextualSpacing/>
        <w:jc w:val="both"/>
        <w:outlineLvl w:val="0"/>
        <w:rPr>
          <w:rFonts w:eastAsia="黑体" w:hAnsi="Times New Roman" w:cs="Times New Roman"/>
          <w:b w:val="0"/>
          <w:sz w:val="32"/>
          <w:szCs w:val="32"/>
        </w:rPr>
      </w:pPr>
      <w:r w:rsidRPr="00C17378">
        <w:rPr>
          <w:rFonts w:eastAsia="黑体" w:hAnsi="Times New Roman" w:cs="Times New Roman" w:hint="eastAsia"/>
          <w:b w:val="0"/>
          <w:sz w:val="32"/>
          <w:szCs w:val="32"/>
        </w:rPr>
        <w:t>一、协议要素</w:t>
      </w:r>
    </w:p>
    <w:p w14:paraId="71656F99" w14:textId="77777777" w:rsidR="00C761BE" w:rsidRDefault="00C761BE" w:rsidP="00C761BE">
      <w:pPr>
        <w:ind w:firstLineChars="200" w:firstLine="640"/>
      </w:pPr>
      <w:r>
        <w:rPr>
          <w:rFonts w:hint="eastAsia"/>
        </w:rPr>
        <w:t>资产托管协议要素应当齐全，包括但不限于下列基本事项：</w:t>
      </w:r>
    </w:p>
    <w:p w14:paraId="5B7721D6" w14:textId="77777777" w:rsidR="00C761BE" w:rsidRDefault="00C761BE" w:rsidP="00C761BE">
      <w:pPr>
        <w:ind w:firstLineChars="200" w:firstLine="640"/>
      </w:pPr>
      <w:r w:rsidRPr="00C914AF">
        <w:rPr>
          <w:rFonts w:hAnsi="Times New Roman" w:cs="Times New Roman" w:hint="eastAsia"/>
          <w:szCs w:val="32"/>
        </w:rPr>
        <w:t>（一）</w:t>
      </w:r>
      <w:r>
        <w:rPr>
          <w:rFonts w:hint="eastAsia"/>
        </w:rPr>
        <w:t>委托人和托管人的基本信息；</w:t>
      </w:r>
    </w:p>
    <w:p w14:paraId="045A0642" w14:textId="77777777" w:rsidR="00C761BE" w:rsidRDefault="00C761BE" w:rsidP="00C761BE">
      <w:pPr>
        <w:ind w:firstLineChars="200" w:firstLine="640"/>
      </w:pPr>
      <w:r>
        <w:rPr>
          <w:rFonts w:hint="eastAsia"/>
        </w:rPr>
        <w:t>（二）委托人和托管人的权利和义务；</w:t>
      </w:r>
    </w:p>
    <w:p w14:paraId="0CAEBA97" w14:textId="77777777" w:rsidR="00C761BE" w:rsidRDefault="00C761BE" w:rsidP="00C761BE">
      <w:pPr>
        <w:ind w:firstLineChars="200" w:firstLine="640"/>
      </w:pPr>
      <w:r>
        <w:rPr>
          <w:rFonts w:hint="eastAsia"/>
        </w:rPr>
        <w:t>（三）托管资产的种类和数额；</w:t>
      </w:r>
    </w:p>
    <w:p w14:paraId="2638F791" w14:textId="77777777" w:rsidR="00C761BE" w:rsidRDefault="00C761BE" w:rsidP="00C761BE">
      <w:pPr>
        <w:ind w:firstLineChars="200" w:firstLine="640"/>
      </w:pPr>
      <w:r>
        <w:rPr>
          <w:rFonts w:hint="eastAsia"/>
        </w:rPr>
        <w:t>（四）托管账户的设立和管理；</w:t>
      </w:r>
    </w:p>
    <w:p w14:paraId="727E3ECE" w14:textId="77777777" w:rsidR="00C761BE" w:rsidRDefault="00C761BE" w:rsidP="00C761BE">
      <w:pPr>
        <w:ind w:firstLineChars="200" w:firstLine="640"/>
      </w:pPr>
      <w:r>
        <w:rPr>
          <w:rFonts w:hint="eastAsia"/>
        </w:rPr>
        <w:t>（五）托管资产交付的条件和方式；</w:t>
      </w:r>
    </w:p>
    <w:p w14:paraId="703C4976" w14:textId="77777777" w:rsidR="00C761BE" w:rsidRDefault="00C761BE" w:rsidP="00C761BE">
      <w:pPr>
        <w:ind w:firstLineChars="200" w:firstLine="640"/>
      </w:pPr>
      <w:r>
        <w:rPr>
          <w:rFonts w:hint="eastAsia"/>
        </w:rPr>
        <w:t>（六）托管资产使用情况监督和信息披露；</w:t>
      </w:r>
    </w:p>
    <w:p w14:paraId="53DB31F8" w14:textId="77777777" w:rsidR="00C761BE" w:rsidRDefault="00C761BE" w:rsidP="00C761BE">
      <w:pPr>
        <w:ind w:firstLineChars="200" w:firstLine="640"/>
      </w:pPr>
      <w:r>
        <w:rPr>
          <w:rFonts w:hint="eastAsia"/>
        </w:rPr>
        <w:t>（七）托管手续费及托管费支付方式；</w:t>
      </w:r>
    </w:p>
    <w:p w14:paraId="1B18EBE9" w14:textId="77777777" w:rsidR="00C761BE" w:rsidRDefault="00C761BE" w:rsidP="00C761BE">
      <w:pPr>
        <w:ind w:firstLineChars="200" w:firstLine="640"/>
      </w:pPr>
      <w:r>
        <w:rPr>
          <w:rFonts w:hint="eastAsia"/>
        </w:rPr>
        <w:t>（八）协议期限和终止条件程序及委托资产的清算返还事宜；</w:t>
      </w:r>
    </w:p>
    <w:p w14:paraId="261F03F1" w14:textId="77777777" w:rsidR="00C761BE" w:rsidRDefault="00C761BE" w:rsidP="00C761BE">
      <w:pPr>
        <w:ind w:firstLineChars="200" w:firstLine="640"/>
      </w:pPr>
      <w:r>
        <w:rPr>
          <w:rFonts w:hint="eastAsia"/>
        </w:rPr>
        <w:t>（九）违约责任和争议解决方式；</w:t>
      </w:r>
    </w:p>
    <w:p w14:paraId="0EE6F42B" w14:textId="77777777" w:rsidR="00C761BE" w:rsidRDefault="00C761BE" w:rsidP="00C761BE">
      <w:pPr>
        <w:ind w:firstLineChars="200" w:firstLine="640"/>
      </w:pPr>
      <w:r>
        <w:rPr>
          <w:rFonts w:hint="eastAsia"/>
        </w:rPr>
        <w:t>（十）其他事项。</w:t>
      </w:r>
    </w:p>
    <w:p w14:paraId="4D31D143" w14:textId="77777777" w:rsidR="00C761BE" w:rsidRPr="00C17378" w:rsidRDefault="00C761BE" w:rsidP="00C761BE">
      <w:pPr>
        <w:pStyle w:val="7815"/>
        <w:spacing w:before="0" w:line="56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二、托管人的资格</w:t>
      </w:r>
    </w:p>
    <w:p w14:paraId="0B35E7A9" w14:textId="77777777" w:rsidR="00C761BE" w:rsidRDefault="00C761BE" w:rsidP="00C761BE">
      <w:pPr>
        <w:ind w:firstLineChars="200" w:firstLine="640"/>
      </w:pPr>
      <w:r>
        <w:rPr>
          <w:rFonts w:hint="eastAsia"/>
        </w:rPr>
        <w:t>根据《商业银行客户资金托管业务指引》《商业银行个人理财业务风险管理指引》（</w:t>
      </w:r>
      <w:r w:rsidRPr="00C914AF">
        <w:rPr>
          <w:rFonts w:hint="eastAsia"/>
        </w:rPr>
        <w:t>银监发〔</w:t>
      </w:r>
      <w:r w:rsidRPr="00C914AF">
        <w:rPr>
          <w:rFonts w:hint="eastAsia"/>
        </w:rPr>
        <w:t>2005</w:t>
      </w:r>
      <w:r w:rsidRPr="00C914AF">
        <w:rPr>
          <w:rFonts w:hint="eastAsia"/>
        </w:rPr>
        <w:t>〕</w:t>
      </w:r>
      <w:r w:rsidRPr="00C914AF">
        <w:rPr>
          <w:rFonts w:hint="eastAsia"/>
        </w:rPr>
        <w:t>63</w:t>
      </w:r>
      <w:r w:rsidRPr="00C914AF">
        <w:rPr>
          <w:rFonts w:hint="eastAsia"/>
        </w:rPr>
        <w:t>号</w:t>
      </w:r>
      <w:r>
        <w:rPr>
          <w:rFonts w:hint="eastAsia"/>
        </w:rPr>
        <w:t>）</w:t>
      </w:r>
      <w:proofErr w:type="gramStart"/>
      <w:r>
        <w:rPr>
          <w:rFonts w:hint="eastAsia"/>
        </w:rPr>
        <w:t>等银监</w:t>
      </w:r>
      <w:proofErr w:type="gramEnd"/>
      <w:r>
        <w:rPr>
          <w:rFonts w:hint="eastAsia"/>
        </w:rPr>
        <w:t>会及银行业协会相关规定，商业银行应当选择银监会认可的、具有证券投</w:t>
      </w:r>
      <w:r>
        <w:rPr>
          <w:rFonts w:hint="eastAsia"/>
        </w:rPr>
        <w:lastRenderedPageBreak/>
        <w:t>资基金托管资格的托管机构，托管本行发行的理财产品，且商业银行</w:t>
      </w:r>
      <w:proofErr w:type="gramStart"/>
      <w:r>
        <w:rPr>
          <w:rFonts w:hint="eastAsia"/>
        </w:rPr>
        <w:t>不能自己</w:t>
      </w:r>
      <w:proofErr w:type="gramEnd"/>
      <w:r>
        <w:rPr>
          <w:rFonts w:hint="eastAsia"/>
        </w:rPr>
        <w:t>托管本行理财产品。银行理财产品托管渠道有两类：一是跨行托管；二是在中央国债登记结算有限责任公司全资设立的银行业理财登记托管中心。</w:t>
      </w:r>
    </w:p>
    <w:p w14:paraId="2E04FC96" w14:textId="77777777" w:rsidR="00C761BE" w:rsidRPr="00F21A6C" w:rsidRDefault="00C761BE" w:rsidP="00C761BE">
      <w:pPr>
        <w:pStyle w:val="7815"/>
        <w:spacing w:before="0" w:line="56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三</w:t>
      </w:r>
      <w:r w:rsidRPr="00F21A6C">
        <w:rPr>
          <w:rFonts w:eastAsia="黑体" w:hAnsi="Times New Roman" w:cs="Times New Roman" w:hint="eastAsia"/>
          <w:b w:val="0"/>
          <w:sz w:val="32"/>
          <w:szCs w:val="32"/>
        </w:rPr>
        <w:t>、托管人的责任</w:t>
      </w:r>
    </w:p>
    <w:p w14:paraId="105AD731" w14:textId="77777777" w:rsidR="00C761BE" w:rsidRDefault="00C761BE" w:rsidP="00C761BE">
      <w:pPr>
        <w:ind w:firstLineChars="200" w:firstLine="640"/>
      </w:pPr>
      <w:r>
        <w:rPr>
          <w:rFonts w:hint="eastAsia"/>
        </w:rPr>
        <w:t>有托管人资格的机构一般都要求使用其提供的格式文本，并在托管人责任相关约定中，以不对投资者直接承担赔付责任为原则，存在免除托管人对投资者直接承担赔付责任，或与资产管理人向投资者承担连带责任的有关表述。在此类条款磋商中，应着意于免责约定是否合理，对于因托管人过错造成托管财产损失的，不应包含在免责范围内。</w:t>
      </w:r>
    </w:p>
    <w:p w14:paraId="07FE3E55" w14:textId="77777777" w:rsidR="00C761BE" w:rsidRPr="009859FC" w:rsidRDefault="00C761BE" w:rsidP="00C761BE">
      <w:pPr>
        <w:pStyle w:val="7815"/>
        <w:spacing w:before="0" w:line="560" w:lineRule="exact"/>
        <w:ind w:firstLineChars="200" w:firstLine="640"/>
        <w:contextualSpacing/>
        <w:jc w:val="both"/>
        <w:outlineLvl w:val="0"/>
        <w:rPr>
          <w:rFonts w:eastAsia="黑体" w:hAnsi="Times New Roman" w:cs="Times New Roman"/>
          <w:b w:val="0"/>
          <w:sz w:val="32"/>
          <w:szCs w:val="32"/>
        </w:rPr>
      </w:pPr>
      <w:r w:rsidRPr="009859FC">
        <w:rPr>
          <w:rFonts w:eastAsia="黑体" w:hAnsi="Times New Roman" w:cs="Times New Roman" w:hint="eastAsia"/>
          <w:b w:val="0"/>
          <w:sz w:val="32"/>
          <w:szCs w:val="32"/>
        </w:rPr>
        <w:t>四</w:t>
      </w:r>
      <w:r>
        <w:rPr>
          <w:rFonts w:eastAsia="黑体" w:hAnsi="Times New Roman" w:cs="Times New Roman" w:hint="eastAsia"/>
          <w:b w:val="0"/>
          <w:sz w:val="32"/>
          <w:szCs w:val="32"/>
        </w:rPr>
        <w:t>、区分托管人和管理人</w:t>
      </w:r>
    </w:p>
    <w:p w14:paraId="3FA9F9F4" w14:textId="77777777" w:rsidR="00C761BE" w:rsidRDefault="00C761BE" w:rsidP="00C761BE">
      <w:pPr>
        <w:ind w:firstLineChars="200" w:firstLine="640"/>
      </w:pPr>
      <w:r>
        <w:rPr>
          <w:rFonts w:hint="eastAsia"/>
        </w:rPr>
        <w:t>资产托管人和投资管理人本身应该是互相监督的关系，托管人</w:t>
      </w:r>
      <w:r w:rsidRPr="00405D4B">
        <w:rPr>
          <w:rFonts w:hint="eastAsia"/>
        </w:rPr>
        <w:t>对</w:t>
      </w:r>
      <w:r>
        <w:rPr>
          <w:rFonts w:hint="eastAsia"/>
        </w:rPr>
        <w:t>管理人</w:t>
      </w:r>
      <w:r w:rsidRPr="00405D4B">
        <w:rPr>
          <w:rFonts w:hint="eastAsia"/>
        </w:rPr>
        <w:t>的管理方式、运用范围和对象、投资组合比例、投资限制等进行监督和核查，监督资金管</w:t>
      </w:r>
      <w:r>
        <w:rPr>
          <w:rFonts w:hint="eastAsia"/>
        </w:rPr>
        <w:t>理运作中是否发生法律法规和有关文件规定、合同约定禁止从事的行为，管理人亦对托管人的托管行为是否符合法律法规和有关文件规定和合同约定进行监督。但是省农信联社在对外托管理财产品资产时，通常同时委托托管人进行受托资产的投资管理，直接造成理财产品资产的投资管理人和托管人同一。虽然目前法律仅规定了基金托管人和基金管理人不得为同一人，但是为了明确托管和管理这两重不同法律关系下的不同权利义务，也为了托管资产的安全性，在资产管理人和托管人为同一家机构是，建议分别签订资产托管协议和委</w:t>
      </w:r>
      <w:r>
        <w:rPr>
          <w:rFonts w:hint="eastAsia"/>
        </w:rPr>
        <w:lastRenderedPageBreak/>
        <w:t>托投资管理协议，并在协议中指定托管事务和投资管理事务由托管人</w:t>
      </w:r>
      <w:r>
        <w:rPr>
          <w:rFonts w:hint="eastAsia"/>
        </w:rPr>
        <w:t>/</w:t>
      </w:r>
      <w:r>
        <w:rPr>
          <w:rFonts w:hint="eastAsia"/>
        </w:rPr>
        <w:t>管理人的不同部门负责。</w:t>
      </w:r>
    </w:p>
    <w:p w14:paraId="76E6CC85" w14:textId="77777777" w:rsidR="00C761BE" w:rsidRPr="00CB7FCA" w:rsidRDefault="00C761BE" w:rsidP="00C761BE">
      <w:pPr>
        <w:pStyle w:val="7815"/>
        <w:spacing w:before="0" w:line="56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五、托管</w:t>
      </w:r>
      <w:r w:rsidRPr="00CB7FCA">
        <w:rPr>
          <w:rFonts w:eastAsia="黑体" w:hAnsi="Times New Roman" w:cs="Times New Roman" w:hint="eastAsia"/>
          <w:b w:val="0"/>
          <w:sz w:val="32"/>
          <w:szCs w:val="32"/>
        </w:rPr>
        <w:t>资产</w:t>
      </w:r>
      <w:r>
        <w:rPr>
          <w:rFonts w:eastAsia="黑体" w:hAnsi="Times New Roman" w:cs="Times New Roman" w:hint="eastAsia"/>
          <w:b w:val="0"/>
          <w:sz w:val="32"/>
          <w:szCs w:val="32"/>
        </w:rPr>
        <w:t>的约定</w:t>
      </w:r>
    </w:p>
    <w:p w14:paraId="0F410414" w14:textId="77777777" w:rsidR="00C761BE" w:rsidRDefault="00C761BE" w:rsidP="00C761BE">
      <w:pPr>
        <w:ind w:firstLineChars="200" w:firstLine="640"/>
      </w:pPr>
      <w:r>
        <w:rPr>
          <w:rFonts w:hint="eastAsia"/>
        </w:rPr>
        <w:t>委托资产的种类、数额、交付时间、交付方式等内容，应当与省农信联社发行的理财产品资金的划转、理财产品本金及收益的兑付安排内容匹配。</w:t>
      </w:r>
    </w:p>
    <w:p w14:paraId="4C462D2F" w14:textId="77777777" w:rsidR="00C761BE" w:rsidRPr="00522121" w:rsidRDefault="00C761BE" w:rsidP="00C761BE">
      <w:pPr>
        <w:pStyle w:val="7815"/>
        <w:spacing w:before="0" w:line="56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六</w:t>
      </w:r>
      <w:r w:rsidRPr="00522121">
        <w:rPr>
          <w:rFonts w:eastAsia="黑体" w:hAnsi="Times New Roman" w:cs="Times New Roman" w:hint="eastAsia"/>
          <w:b w:val="0"/>
          <w:sz w:val="32"/>
          <w:szCs w:val="32"/>
        </w:rPr>
        <w:t>、托管资产隔离</w:t>
      </w:r>
    </w:p>
    <w:p w14:paraId="3B404D93" w14:textId="77777777" w:rsidR="00C761BE" w:rsidRDefault="00C761BE" w:rsidP="00C761BE">
      <w:pPr>
        <w:ind w:firstLineChars="200" w:firstLine="640"/>
      </w:pPr>
      <w:r>
        <w:rPr>
          <w:rFonts w:hint="eastAsia"/>
        </w:rPr>
        <w:t>为保证托管资产安全，资产托管中应当要求托管人托管的</w:t>
      </w:r>
      <w:r w:rsidRPr="00160B62">
        <w:rPr>
          <w:rFonts w:hint="eastAsia"/>
        </w:rPr>
        <w:t>理财产品财产与</w:t>
      </w:r>
      <w:r>
        <w:rPr>
          <w:rFonts w:hint="eastAsia"/>
        </w:rPr>
        <w:t>其</w:t>
      </w:r>
      <w:r w:rsidRPr="00160B62">
        <w:rPr>
          <w:rFonts w:hint="eastAsia"/>
        </w:rPr>
        <w:t>自有资产以及托管的</w:t>
      </w:r>
      <w:r>
        <w:rPr>
          <w:rFonts w:hint="eastAsia"/>
        </w:rPr>
        <w:t>其他</w:t>
      </w:r>
      <w:r w:rsidRPr="00160B62">
        <w:rPr>
          <w:rFonts w:hint="eastAsia"/>
        </w:rPr>
        <w:t>理财产品财产相互独立</w:t>
      </w:r>
      <w:r>
        <w:rPr>
          <w:rFonts w:hint="eastAsia"/>
        </w:rPr>
        <w:t>，</w:t>
      </w:r>
      <w:r w:rsidRPr="00160B62">
        <w:rPr>
          <w:rFonts w:hint="eastAsia"/>
        </w:rPr>
        <w:t>对不同理财产品分别设置账户，独立核算，分账管理，保证不同理财产品在账户设置、资金划拨、账册记录等方面相互独立</w:t>
      </w:r>
      <w:r>
        <w:rPr>
          <w:rFonts w:hint="eastAsia"/>
        </w:rPr>
        <w:t>，同时明确托管人</w:t>
      </w:r>
      <w:r w:rsidRPr="00A542A3">
        <w:rPr>
          <w:rFonts w:hint="eastAsia"/>
        </w:rPr>
        <w:t>因依法解散、被依法撤销或者被依法宣告破产等原因进行清算的，</w:t>
      </w:r>
      <w:r>
        <w:rPr>
          <w:rFonts w:hint="eastAsia"/>
        </w:rPr>
        <w:t>受托</w:t>
      </w:r>
      <w:r w:rsidRPr="00A542A3">
        <w:rPr>
          <w:rFonts w:hint="eastAsia"/>
        </w:rPr>
        <w:t>财产不属于其清算财产。</w:t>
      </w:r>
    </w:p>
    <w:p w14:paraId="2CECD0A7" w14:textId="77777777" w:rsidR="00C761BE" w:rsidRPr="004F1EF1" w:rsidRDefault="00C761BE" w:rsidP="00C761BE">
      <w:pPr>
        <w:pStyle w:val="7815"/>
        <w:spacing w:before="0" w:line="56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七</w:t>
      </w:r>
      <w:r w:rsidRPr="00D222B5">
        <w:rPr>
          <w:rFonts w:eastAsia="黑体" w:hAnsi="Times New Roman" w:cs="Times New Roman" w:hint="eastAsia"/>
          <w:b w:val="0"/>
          <w:sz w:val="32"/>
          <w:szCs w:val="32"/>
        </w:rPr>
        <w:t>、</w:t>
      </w:r>
      <w:r>
        <w:rPr>
          <w:rFonts w:eastAsia="黑体" w:hAnsi="Times New Roman" w:cs="Times New Roman" w:hint="eastAsia"/>
          <w:b w:val="0"/>
          <w:sz w:val="32"/>
          <w:szCs w:val="32"/>
        </w:rPr>
        <w:t>明确</w:t>
      </w:r>
      <w:r w:rsidRPr="004F1EF1">
        <w:rPr>
          <w:rFonts w:eastAsia="黑体" w:hAnsi="Times New Roman" w:cs="Times New Roman" w:hint="eastAsia"/>
          <w:b w:val="0"/>
          <w:sz w:val="32"/>
          <w:szCs w:val="32"/>
        </w:rPr>
        <w:t>转托管</w:t>
      </w:r>
      <w:r>
        <w:rPr>
          <w:rFonts w:eastAsia="黑体" w:hAnsi="Times New Roman" w:cs="Times New Roman" w:hint="eastAsia"/>
          <w:b w:val="0"/>
          <w:sz w:val="32"/>
          <w:szCs w:val="32"/>
        </w:rPr>
        <w:t>约定</w:t>
      </w:r>
    </w:p>
    <w:p w14:paraId="140D5EC1" w14:textId="77777777" w:rsidR="00C761BE" w:rsidRPr="00A95DC4" w:rsidRDefault="00C761BE" w:rsidP="00C761BE">
      <w:pPr>
        <w:pStyle w:val="7815"/>
        <w:spacing w:before="0" w:line="560" w:lineRule="exact"/>
        <w:ind w:firstLineChars="200" w:firstLine="640"/>
        <w:contextualSpacing/>
        <w:jc w:val="both"/>
        <w:rPr>
          <w:rFonts w:eastAsia="仿宋_GB2312" w:hAnsi="Times New Roman" w:cs="Times New Roman"/>
          <w:b w:val="0"/>
          <w:sz w:val="32"/>
          <w:szCs w:val="32"/>
        </w:rPr>
      </w:pPr>
      <w:r>
        <w:rPr>
          <w:rFonts w:eastAsia="仿宋_GB2312" w:hAnsi="Times New Roman" w:cs="Times New Roman" w:hint="eastAsia"/>
          <w:b w:val="0"/>
          <w:sz w:val="32"/>
          <w:szCs w:val="32"/>
        </w:rPr>
        <w:t>资产托管关系本质上是委托关系，应对转托管事项</w:t>
      </w:r>
      <w:proofErr w:type="gramStart"/>
      <w:r>
        <w:rPr>
          <w:rFonts w:eastAsia="仿宋_GB2312" w:hAnsi="Times New Roman" w:cs="Times New Roman" w:hint="eastAsia"/>
          <w:b w:val="0"/>
          <w:sz w:val="32"/>
          <w:szCs w:val="32"/>
        </w:rPr>
        <w:t>作出</w:t>
      </w:r>
      <w:proofErr w:type="gramEnd"/>
      <w:r>
        <w:rPr>
          <w:rFonts w:eastAsia="仿宋_GB2312" w:hAnsi="Times New Roman" w:cs="Times New Roman" w:hint="eastAsia"/>
          <w:b w:val="0"/>
          <w:sz w:val="32"/>
          <w:szCs w:val="32"/>
        </w:rPr>
        <w:t>约定。</w:t>
      </w:r>
      <w:r w:rsidRPr="007D41E8">
        <w:rPr>
          <w:rFonts w:eastAsia="仿宋_GB2312" w:hAnsi="Times New Roman" w:cs="Times New Roman" w:hint="eastAsia"/>
          <w:b w:val="0"/>
          <w:sz w:val="32"/>
          <w:szCs w:val="32"/>
        </w:rPr>
        <w:t>由于</w:t>
      </w:r>
      <w:r>
        <w:rPr>
          <w:rFonts w:eastAsia="仿宋_GB2312" w:hAnsi="Times New Roman" w:cs="Times New Roman" w:hint="eastAsia"/>
          <w:b w:val="0"/>
          <w:sz w:val="32"/>
          <w:szCs w:val="32"/>
        </w:rPr>
        <w:t>资产托管协议</w:t>
      </w:r>
      <w:r w:rsidRPr="007D41E8">
        <w:rPr>
          <w:rFonts w:eastAsia="仿宋_GB2312" w:hAnsi="Times New Roman" w:cs="Times New Roman" w:hint="eastAsia"/>
          <w:b w:val="0"/>
          <w:sz w:val="32"/>
          <w:szCs w:val="32"/>
        </w:rPr>
        <w:t>的当事人之间有相互信赖关系，所以原则上</w:t>
      </w:r>
      <w:r>
        <w:rPr>
          <w:rFonts w:eastAsia="仿宋_GB2312" w:hAnsi="Times New Roman" w:cs="Times New Roman" w:hint="eastAsia"/>
          <w:b w:val="0"/>
          <w:sz w:val="32"/>
          <w:szCs w:val="32"/>
        </w:rPr>
        <w:t>托管人应亲自处理受托事务，防止出现托管人有负委托人信任致委托人利益受损的情形，同时为了</w:t>
      </w:r>
      <w:r w:rsidRPr="007D41E8">
        <w:rPr>
          <w:rFonts w:eastAsia="仿宋_GB2312" w:hAnsi="Times New Roman" w:cs="Times New Roman" w:hint="eastAsia"/>
          <w:b w:val="0"/>
          <w:sz w:val="32"/>
          <w:szCs w:val="32"/>
        </w:rPr>
        <w:t>保证</w:t>
      </w:r>
      <w:r>
        <w:rPr>
          <w:rFonts w:eastAsia="仿宋_GB2312" w:hAnsi="Times New Roman" w:cs="Times New Roman" w:hint="eastAsia"/>
          <w:b w:val="0"/>
          <w:sz w:val="32"/>
          <w:szCs w:val="32"/>
        </w:rPr>
        <w:t>资产托管事项的顺利开展，应明确禁止托管人转托管于他人，或者要求托管人在转托</w:t>
      </w:r>
      <w:proofErr w:type="gramStart"/>
      <w:r>
        <w:rPr>
          <w:rFonts w:eastAsia="仿宋_GB2312" w:hAnsi="Times New Roman" w:cs="Times New Roman" w:hint="eastAsia"/>
          <w:b w:val="0"/>
          <w:sz w:val="32"/>
          <w:szCs w:val="32"/>
        </w:rPr>
        <w:t>管之前</w:t>
      </w:r>
      <w:proofErr w:type="gramEnd"/>
      <w:r>
        <w:rPr>
          <w:rFonts w:eastAsia="仿宋_GB2312" w:hAnsi="Times New Roman" w:cs="Times New Roman" w:hint="eastAsia"/>
          <w:b w:val="0"/>
          <w:sz w:val="32"/>
          <w:szCs w:val="32"/>
        </w:rPr>
        <w:t>事先征得委托人</w:t>
      </w:r>
      <w:r w:rsidRPr="007D41E8">
        <w:rPr>
          <w:rFonts w:eastAsia="仿宋_GB2312" w:hAnsi="Times New Roman" w:cs="Times New Roman" w:hint="eastAsia"/>
          <w:b w:val="0"/>
          <w:sz w:val="32"/>
          <w:szCs w:val="32"/>
        </w:rPr>
        <w:t>书面同意。</w:t>
      </w:r>
    </w:p>
    <w:p w14:paraId="5FF8BB8C" w14:textId="77777777" w:rsidR="00C761BE" w:rsidRPr="00CB7FCA" w:rsidRDefault="00C761BE" w:rsidP="00C761BE">
      <w:pPr>
        <w:pStyle w:val="7815"/>
        <w:spacing w:before="0" w:line="56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八、</w:t>
      </w:r>
      <w:r w:rsidRPr="00CB7FCA">
        <w:rPr>
          <w:rFonts w:eastAsia="黑体" w:hAnsi="Times New Roman" w:cs="Times New Roman" w:hint="eastAsia"/>
          <w:b w:val="0"/>
          <w:sz w:val="32"/>
          <w:szCs w:val="32"/>
        </w:rPr>
        <w:t>操作流程安排的约定</w:t>
      </w:r>
    </w:p>
    <w:p w14:paraId="643FD4DB" w14:textId="77777777" w:rsidR="00C761BE" w:rsidRDefault="00C761BE" w:rsidP="00C761BE">
      <w:pPr>
        <w:ind w:firstLineChars="200" w:firstLine="640"/>
      </w:pPr>
      <w:r>
        <w:rPr>
          <w:rFonts w:hint="eastAsia"/>
        </w:rPr>
        <w:t>资产托管涉及到诸多的操作安排及流程管理，注意在协议条款中进行明确、规范的约定，尤其是以下方面内容：</w:t>
      </w:r>
    </w:p>
    <w:p w14:paraId="7FD5BE14" w14:textId="77777777" w:rsidR="00C761BE" w:rsidRDefault="00C761BE" w:rsidP="00C761BE">
      <w:pPr>
        <w:ind w:firstLine="640"/>
      </w:pPr>
      <w:r>
        <w:rPr>
          <w:rFonts w:hint="eastAsia"/>
        </w:rPr>
        <w:lastRenderedPageBreak/>
        <w:t>（一）明确托管账户的开立时间、流程；</w:t>
      </w:r>
    </w:p>
    <w:p w14:paraId="45EA1461" w14:textId="77777777" w:rsidR="00C761BE" w:rsidRDefault="00C761BE" w:rsidP="00C761BE">
      <w:pPr>
        <w:ind w:firstLine="640"/>
      </w:pPr>
      <w:r>
        <w:rPr>
          <w:rFonts w:hint="eastAsia"/>
        </w:rPr>
        <w:t>（二）明确托管资产的具体交付时间，一般在理财产品成立后三个工作日内划转至开立在托管人处的托管账户；</w:t>
      </w:r>
    </w:p>
    <w:p w14:paraId="401CA4AE" w14:textId="77777777" w:rsidR="00C761BE" w:rsidRDefault="00C761BE" w:rsidP="00C761BE">
      <w:pPr>
        <w:ind w:firstLineChars="200" w:firstLine="640"/>
      </w:pPr>
      <w:r>
        <w:rPr>
          <w:rFonts w:hint="eastAsia"/>
        </w:rPr>
        <w:t>（三）明确托管账户资金划扣的操作授权、指令要求、划扣条件、流程；</w:t>
      </w:r>
    </w:p>
    <w:p w14:paraId="25E68014" w14:textId="77777777" w:rsidR="00C761BE" w:rsidRDefault="00C761BE" w:rsidP="00C761BE">
      <w:pPr>
        <w:ind w:firstLineChars="200" w:firstLine="640"/>
      </w:pPr>
      <w:r>
        <w:rPr>
          <w:rFonts w:hint="eastAsia"/>
        </w:rPr>
        <w:t>（四）明确托管业务档案（包括</w:t>
      </w:r>
      <w:r w:rsidRPr="00405D4B">
        <w:rPr>
          <w:rFonts w:hint="eastAsia"/>
        </w:rPr>
        <w:t>托管活动记录、账册、报表和其他相关资料</w:t>
      </w:r>
      <w:r>
        <w:rPr>
          <w:rFonts w:hint="eastAsia"/>
        </w:rPr>
        <w:t>）保管、查询的期限、流程；</w:t>
      </w:r>
    </w:p>
    <w:p w14:paraId="16CC4314" w14:textId="77777777" w:rsidR="00C761BE" w:rsidRDefault="00C761BE" w:rsidP="00C761BE">
      <w:pPr>
        <w:ind w:firstLineChars="200" w:firstLine="640"/>
      </w:pPr>
      <w:r>
        <w:rPr>
          <w:rFonts w:hint="eastAsia"/>
        </w:rPr>
        <w:t>（五）明确托管人和委托人就托管资产价值的估值与核算存在异议时的沟通、协商、解决流程。</w:t>
      </w:r>
    </w:p>
    <w:p w14:paraId="35361881" w14:textId="77777777" w:rsidR="00C761BE" w:rsidRDefault="00C761BE" w:rsidP="00C761BE">
      <w:pPr>
        <w:pStyle w:val="7815"/>
        <w:spacing w:before="0" w:line="560" w:lineRule="exact"/>
        <w:ind w:firstLineChars="200" w:firstLine="640"/>
        <w:contextualSpacing/>
        <w:jc w:val="both"/>
        <w:outlineLvl w:val="0"/>
        <w:rPr>
          <w:rFonts w:eastAsia="黑体" w:hAnsi="Times New Roman" w:cs="Times New Roman"/>
          <w:b w:val="0"/>
          <w:sz w:val="32"/>
          <w:szCs w:val="32"/>
        </w:rPr>
      </w:pPr>
      <w:r w:rsidRPr="00281557">
        <w:rPr>
          <w:rFonts w:eastAsia="黑体" w:hAnsi="Times New Roman" w:cs="Times New Roman" w:hint="eastAsia"/>
          <w:b w:val="0"/>
          <w:sz w:val="32"/>
          <w:szCs w:val="32"/>
        </w:rPr>
        <w:t>九、</w:t>
      </w:r>
      <w:r>
        <w:rPr>
          <w:rFonts w:eastAsia="黑体" w:hAnsi="Times New Roman" w:cs="Times New Roman" w:hint="eastAsia"/>
          <w:b w:val="0"/>
          <w:sz w:val="32"/>
          <w:szCs w:val="32"/>
        </w:rPr>
        <w:t>信息披露</w:t>
      </w:r>
    </w:p>
    <w:p w14:paraId="7756D637" w14:textId="77777777" w:rsidR="00C761BE" w:rsidRPr="00466FA7" w:rsidRDefault="00C761BE" w:rsidP="00C761BE">
      <w:pPr>
        <w:ind w:firstLineChars="200" w:firstLine="640"/>
      </w:pPr>
      <w:r w:rsidRPr="00466FA7">
        <w:rPr>
          <w:rFonts w:hint="eastAsia"/>
        </w:rPr>
        <w:t>省农信联社</w:t>
      </w:r>
      <w:r>
        <w:rPr>
          <w:rFonts w:hint="eastAsia"/>
        </w:rPr>
        <w:t>下辖行社</w:t>
      </w:r>
      <w:r w:rsidRPr="00466FA7">
        <w:rPr>
          <w:rFonts w:hint="eastAsia"/>
        </w:rPr>
        <w:t>募集发行理财产品的，应当按照银监会相关规定，及时、准确、完整地向客户披露理财产品的销售文件（包括说明书、销售协议书、风险揭示书和客户权益须知）、发行公告、重大事项公告、理财定期报告等信息。为取得相关信息，在办理理财产品托管时，应要求托管人履行托管业务活动相关的信息披露事项，包括披露理财产品托管协议、对理财产品信息披露文件中的理财产品财务报告等信息及时进行复核审查并出具意见等。</w:t>
      </w:r>
    </w:p>
    <w:p w14:paraId="5964F583" w14:textId="77777777" w:rsidR="00C761BE" w:rsidRPr="00281557" w:rsidRDefault="00C761BE" w:rsidP="00C761BE">
      <w:pPr>
        <w:pStyle w:val="7815"/>
        <w:spacing w:before="0" w:line="56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十、托管</w:t>
      </w:r>
      <w:r w:rsidRPr="00281557">
        <w:rPr>
          <w:rFonts w:eastAsia="黑体" w:hAnsi="Times New Roman" w:cs="Times New Roman" w:hint="eastAsia"/>
          <w:b w:val="0"/>
          <w:sz w:val="32"/>
          <w:szCs w:val="32"/>
        </w:rPr>
        <w:t>资产的清算</w:t>
      </w:r>
    </w:p>
    <w:p w14:paraId="112B9469" w14:textId="77777777" w:rsidR="00C761BE" w:rsidRDefault="00C761BE" w:rsidP="00C761BE">
      <w:pPr>
        <w:ind w:firstLineChars="200" w:firstLine="640"/>
      </w:pPr>
      <w:r>
        <w:rPr>
          <w:rFonts w:hint="eastAsia"/>
        </w:rPr>
        <w:t>托管资产的清算约定，应明确流程，包括清算时间（托管期限届满或协议终止或解除后一定期限内）、清算工作负责人、清算结果核对确认的方式和流程等。特别是对于清算结果的确认，托管人提供的格式合同文本一般要求委托人和托管人对于清算</w:t>
      </w:r>
      <w:r>
        <w:rPr>
          <w:rFonts w:hint="eastAsia"/>
        </w:rPr>
        <w:lastRenderedPageBreak/>
        <w:t>结果存在不一致且无法达成一致时，以托管人的清算结果为准。我们建议对于清算结果存在异议时，应以共同确认清算结果为原则，如由委托人和托管人共同组成或共同指定清算组清算。</w:t>
      </w:r>
    </w:p>
    <w:p w14:paraId="4FE9303F" w14:textId="77777777" w:rsidR="00C761BE" w:rsidRDefault="00C761BE" w:rsidP="00C761BE">
      <w:pPr>
        <w:pStyle w:val="7815"/>
        <w:spacing w:before="0" w:line="560" w:lineRule="exact"/>
        <w:ind w:firstLineChars="200" w:firstLine="640"/>
        <w:contextualSpacing/>
        <w:jc w:val="both"/>
        <w:outlineLvl w:val="0"/>
      </w:pPr>
      <w:r>
        <w:rPr>
          <w:rFonts w:eastAsia="黑体" w:hAnsi="Times New Roman" w:cs="Times New Roman" w:hint="eastAsia"/>
          <w:b w:val="0"/>
          <w:sz w:val="32"/>
          <w:szCs w:val="32"/>
        </w:rPr>
        <w:t>十一、</w:t>
      </w:r>
      <w:r w:rsidRPr="00CB7FCA">
        <w:rPr>
          <w:rFonts w:eastAsia="黑体" w:hAnsi="Times New Roman" w:cs="Times New Roman" w:hint="eastAsia"/>
          <w:b w:val="0"/>
          <w:sz w:val="32"/>
          <w:szCs w:val="32"/>
        </w:rPr>
        <w:t>争议解决方式</w:t>
      </w:r>
    </w:p>
    <w:p w14:paraId="3FECD241" w14:textId="77777777" w:rsidR="00C761BE" w:rsidRDefault="00C761BE" w:rsidP="00C761BE">
      <w:pPr>
        <w:ind w:firstLineChars="200" w:firstLine="640"/>
      </w:pPr>
      <w:r>
        <w:rPr>
          <w:rFonts w:hint="eastAsia"/>
        </w:rPr>
        <w:t>省农信联社在对外托管理财产品资产时，通常同时委托托管人进行受托资产的投资管理。此时，除资产托管协议外，可能涉及理财业务合作框架协议、受托资产投资管理协议等其他协议文本，这些协议中的争议解决方式的选择应保持一致。</w:t>
      </w:r>
    </w:p>
    <w:p w14:paraId="7B4ADAA1" w14:textId="77777777" w:rsidR="00C761BE" w:rsidRPr="00997F7E" w:rsidRDefault="00C761BE" w:rsidP="00C761BE">
      <w:pPr>
        <w:pStyle w:val="7815"/>
        <w:spacing w:before="0" w:line="56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十二、</w:t>
      </w:r>
      <w:r w:rsidRPr="00997F7E">
        <w:rPr>
          <w:rFonts w:eastAsia="黑体" w:hAnsi="Times New Roman" w:cs="Times New Roman" w:hint="eastAsia"/>
          <w:b w:val="0"/>
          <w:sz w:val="32"/>
          <w:szCs w:val="32"/>
        </w:rPr>
        <w:t>格式合同文本</w:t>
      </w:r>
    </w:p>
    <w:p w14:paraId="01B25C96" w14:textId="77777777" w:rsidR="00C761BE" w:rsidRDefault="00C761BE" w:rsidP="00C761BE">
      <w:pPr>
        <w:ind w:firstLineChars="200" w:firstLine="640"/>
      </w:pPr>
      <w:r>
        <w:rPr>
          <w:rFonts w:hint="eastAsia"/>
        </w:rPr>
        <w:t>省农信联社目前涉及的资产托管协议基本都采用对方出具的格式合同文本，对方多是各大全国性银行等强势机构，这类机构提供的合同往往注重保障自身利益，隐含霸王条款内容，不允许对合同进行协商和修改，合</w:t>
      </w:r>
      <w:proofErr w:type="gramStart"/>
      <w:r>
        <w:rPr>
          <w:rFonts w:hint="eastAsia"/>
        </w:rPr>
        <w:t>规</w:t>
      </w:r>
      <w:proofErr w:type="gramEnd"/>
      <w:r>
        <w:rPr>
          <w:rFonts w:hint="eastAsia"/>
        </w:rPr>
        <w:t>审查即使提出意见，也不易被接受，合同使用部门处境尴尬，影响到合同使用的效率。但仍应当对合同审查中发现的风险予以足够的重视，并在合同履行过程中跟踪关注，尽可能规避。</w:t>
      </w:r>
    </w:p>
    <w:p w14:paraId="329690FA" w14:textId="77777777" w:rsidR="00C761BE" w:rsidRPr="00997F7E" w:rsidRDefault="00C761BE" w:rsidP="00C761BE">
      <w:pPr>
        <w:pStyle w:val="7815"/>
        <w:spacing w:before="0" w:line="56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十三、参考</w:t>
      </w:r>
      <w:r w:rsidRPr="00997F7E">
        <w:rPr>
          <w:rFonts w:eastAsia="黑体" w:hAnsi="Times New Roman" w:cs="Times New Roman" w:hint="eastAsia"/>
          <w:b w:val="0"/>
          <w:sz w:val="32"/>
          <w:szCs w:val="32"/>
        </w:rPr>
        <w:t>示范文本</w:t>
      </w:r>
    </w:p>
    <w:p w14:paraId="5544A049" w14:textId="77777777" w:rsidR="00C761BE" w:rsidRDefault="00C761BE" w:rsidP="00C761BE">
      <w:pPr>
        <w:ind w:firstLineChars="200" w:firstLine="640"/>
      </w:pPr>
      <w:r>
        <w:rPr>
          <w:rFonts w:hint="eastAsia"/>
        </w:rPr>
        <w:t>资产托管业务往往受到银监会、银行业协会、证监会等机构的监督管理，该类机构为了规范市场操作，会发布相关示范文本供市场参与者参照使用，比如中国证券投资基金业协会发布的《托管银行证券资金结算协议（格式文本）》等，可以作为合同制作和审查的参考。</w:t>
      </w:r>
    </w:p>
    <w:p w14:paraId="47A72960" w14:textId="77777777" w:rsidR="005A4C3F" w:rsidRPr="00C761BE" w:rsidRDefault="005A4C3F"/>
    <w:sectPr w:rsidR="005A4C3F" w:rsidRPr="00C761BE" w:rsidSect="00F319A2">
      <w:footerReference w:type="default" r:id="rId6"/>
      <w:pgSz w:w="11906" w:h="16838"/>
      <w:pgMar w:top="1814" w:right="1474" w:bottom="1588" w:left="1588"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0197EF" w14:textId="77777777" w:rsidR="00B44FC7" w:rsidRDefault="00B44FC7" w:rsidP="00F319A2">
      <w:pPr>
        <w:spacing w:line="240" w:lineRule="auto"/>
      </w:pPr>
      <w:r>
        <w:separator/>
      </w:r>
    </w:p>
  </w:endnote>
  <w:endnote w:type="continuationSeparator" w:id="0">
    <w:p w14:paraId="11B5FAE2" w14:textId="77777777" w:rsidR="00B44FC7" w:rsidRDefault="00B44FC7" w:rsidP="00F319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0AFF" w:usb1="00007843" w:usb2="00000001" w:usb3="00000000" w:csb0="000001BF" w:csb1="00000000"/>
  </w:font>
  <w:font w:name="仿宋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56101"/>
      <w:docPartObj>
        <w:docPartGallery w:val="Page Numbers (Bottom of Page)"/>
        <w:docPartUnique/>
      </w:docPartObj>
    </w:sdtPr>
    <w:sdtEndPr/>
    <w:sdtContent>
      <w:p w14:paraId="622D049A" w14:textId="1D248C31" w:rsidR="00575897" w:rsidRDefault="00575897">
        <w:pPr>
          <w:pStyle w:val="a4"/>
          <w:jc w:val="center"/>
        </w:pPr>
        <w:r>
          <w:fldChar w:fldCharType="begin"/>
        </w:r>
        <w:r>
          <w:instrText>PAGE   \* MERGEFORMAT</w:instrText>
        </w:r>
        <w:r>
          <w:fldChar w:fldCharType="separate"/>
        </w:r>
        <w:r w:rsidR="00550968" w:rsidRPr="00550968">
          <w:rPr>
            <w:noProof/>
            <w:lang w:val="zh-CN"/>
          </w:rPr>
          <w:t>5</w:t>
        </w:r>
        <w:r>
          <w:fldChar w:fldCharType="end"/>
        </w:r>
      </w:p>
    </w:sdtContent>
  </w:sdt>
  <w:p w14:paraId="23421673" w14:textId="77777777" w:rsidR="00575897" w:rsidRDefault="00575897">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6C628D" w14:textId="77777777" w:rsidR="00B44FC7" w:rsidRDefault="00B44FC7" w:rsidP="00F319A2">
      <w:pPr>
        <w:spacing w:line="240" w:lineRule="auto"/>
      </w:pPr>
      <w:r>
        <w:separator/>
      </w:r>
    </w:p>
  </w:footnote>
  <w:footnote w:type="continuationSeparator" w:id="0">
    <w:p w14:paraId="5A6460C3" w14:textId="77777777" w:rsidR="00B44FC7" w:rsidRDefault="00B44FC7" w:rsidP="00F319A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2BD"/>
    <w:rsid w:val="00550968"/>
    <w:rsid w:val="00561829"/>
    <w:rsid w:val="00575897"/>
    <w:rsid w:val="005A4C3F"/>
    <w:rsid w:val="005B24FD"/>
    <w:rsid w:val="007B6FEA"/>
    <w:rsid w:val="00A62DA3"/>
    <w:rsid w:val="00B44FC7"/>
    <w:rsid w:val="00C761BE"/>
    <w:rsid w:val="00E35B3B"/>
    <w:rsid w:val="00EA42BD"/>
    <w:rsid w:val="00F31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E9C29"/>
  <w15:chartTrackingRefBased/>
  <w15:docId w15:val="{110B66F3-2C09-49A9-A82F-E1A05BC9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319A2"/>
    <w:pPr>
      <w:widowControl w:val="0"/>
      <w:spacing w:line="560" w:lineRule="exact"/>
      <w:jc w:val="both"/>
    </w:pPr>
    <w:rPr>
      <w:rFonts w:eastAsia="仿宋_GB2312"/>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319A2"/>
    <w:pPr>
      <w:pBdr>
        <w:bottom w:val="single" w:sz="6" w:space="1" w:color="auto"/>
      </w:pBdr>
      <w:tabs>
        <w:tab w:val="center" w:pos="4153"/>
        <w:tab w:val="right" w:pos="8306"/>
      </w:tabs>
      <w:snapToGrid w:val="0"/>
      <w:spacing w:line="240" w:lineRule="auto"/>
      <w:jc w:val="center"/>
    </w:pPr>
    <w:rPr>
      <w:rFonts w:eastAsiaTheme="minorEastAsia"/>
      <w:sz w:val="18"/>
      <w:szCs w:val="18"/>
    </w:rPr>
  </w:style>
  <w:style w:type="character" w:customStyle="1" w:styleId="Char">
    <w:name w:val="页眉 Char"/>
    <w:basedOn w:val="a0"/>
    <w:link w:val="a3"/>
    <w:uiPriority w:val="99"/>
    <w:rsid w:val="00F319A2"/>
    <w:rPr>
      <w:sz w:val="18"/>
      <w:szCs w:val="18"/>
    </w:rPr>
  </w:style>
  <w:style w:type="paragraph" w:styleId="a4">
    <w:name w:val="footer"/>
    <w:basedOn w:val="a"/>
    <w:link w:val="Char0"/>
    <w:uiPriority w:val="99"/>
    <w:unhideWhenUsed/>
    <w:rsid w:val="00F319A2"/>
    <w:pPr>
      <w:tabs>
        <w:tab w:val="center" w:pos="4153"/>
        <w:tab w:val="right" w:pos="8306"/>
      </w:tabs>
      <w:snapToGrid w:val="0"/>
      <w:spacing w:line="240" w:lineRule="auto"/>
      <w:jc w:val="left"/>
    </w:pPr>
    <w:rPr>
      <w:rFonts w:eastAsiaTheme="minorEastAsia"/>
      <w:sz w:val="18"/>
      <w:szCs w:val="18"/>
    </w:rPr>
  </w:style>
  <w:style w:type="character" w:customStyle="1" w:styleId="Char0">
    <w:name w:val="页脚 Char"/>
    <w:basedOn w:val="a0"/>
    <w:link w:val="a4"/>
    <w:uiPriority w:val="99"/>
    <w:rsid w:val="00F319A2"/>
    <w:rPr>
      <w:sz w:val="18"/>
      <w:szCs w:val="18"/>
    </w:rPr>
  </w:style>
  <w:style w:type="paragraph" w:customStyle="1" w:styleId="7815">
    <w:name w:val="样式 (符号) 宋体 二号 加粗 居中 段前: 7.8 磅 行距: 1.5 倍行距"/>
    <w:basedOn w:val="a"/>
    <w:rsid w:val="00C761BE"/>
    <w:pPr>
      <w:spacing w:before="156" w:line="360" w:lineRule="auto"/>
      <w:jc w:val="left"/>
    </w:pPr>
    <w:rPr>
      <w:rFonts w:ascii="Times New Roman" w:eastAsia="宋体" w:hAnsi="宋体" w:cs="宋体"/>
      <w:b/>
      <w:bCs/>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办公室文印</cp:lastModifiedBy>
  <cp:revision>6</cp:revision>
  <dcterms:created xsi:type="dcterms:W3CDTF">2017-12-08T01:32:00Z</dcterms:created>
  <dcterms:modified xsi:type="dcterms:W3CDTF">2021-03-26T07:44:00Z</dcterms:modified>
</cp:coreProperties>
</file>