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反馈0730-【已审查】（190号）互联网类系统CDN加速服务（三年）采购合同HT-ZRUB-2025-07-01-08-C002</w:t>
      </w:r>
    </w:p>
    <w:p>
      <w:r>
        <w:t>生成时间: 2026-02-20 23:45</w:t>
      </w:r>
    </w:p>
    <w:p>
      <w:r>
        <w:t>------------------------------</w:t>
      </w:r>
    </w:p>
    <w:p>
      <w:pPr>
        <w:pStyle w:val="Heading1"/>
      </w:pPr>
      <w:r>
        <w:t>合同审查报告</w:t>
      </w:r>
    </w:p>
    <w:p>
      <w:pPr>
        <w:pStyle w:val="Heading2"/>
      </w:pPr>
      <w:r>
        <w:t>一、审查概要</w:t>
      </w:r>
    </w:p>
    <w:p>
      <w:pPr>
        <w:pStyle w:val="ListBullet"/>
      </w:pPr>
      <w:r>
        <w:t>**审查标准总数**：4类（C1–C4），共**23项具体检查要点**</w:t>
      </w:r>
    </w:p>
    <w:p>
      <w:pPr>
        <w:pStyle w:val="ListBullet"/>
      </w:pPr>
      <w:r>
        <w:t>**发现问题总数**：**23项全部存在实质性缺陷**（全覆盖性缺失）</w:t>
      </w:r>
    </w:p>
    <w:p>
      <w:pPr>
        <w:pStyle w:val="ListBullet"/>
      </w:pPr>
      <w:r>
        <w:t>**高风险问题数量**：**20项**（占比87%）</w:t>
      </w:r>
    </w:p>
    <w:p>
      <w:pPr>
        <w:pStyle w:val="ListBullet"/>
      </w:pPr>
      <w:r>
        <w:t>**中风险问题数量**：**1项**（C1中“知识产权核查”项，因标的未约定而暂定为中风险，但具潜在高风险转化可能）</w:t>
      </w:r>
    </w:p>
    <w:p>
      <w:pPr>
        <w:pStyle w:val="ListBullet"/>
      </w:pPr>
      <w:r>
        <w:t>**低/无风险问题数量**：**0项**</w:t>
      </w:r>
    </w:p>
    <w:p>
      <w:r>
        <w:t>&gt; ⚠️ **核心判断**：该合同文本**不构成法律意义上的有效合同**，属于“主体缺位、标的虚化、条款真空”的**结构性无效合同**，依法不具备成立基础（《民法典》第483条、第490条），**严禁签署、履行或备案**。</w:t>
      </w:r>
    </w:p>
    <w:p>
      <w:r>
        <w:t>---</w:t>
      </w:r>
    </w:p>
    <w:p>
      <w:pPr>
        <w:pStyle w:val="Heading2"/>
      </w:pPr>
      <w:r>
        <w:t>二、风险总览表</w:t>
      </w:r>
    </w:p>
    <w:p>
      <w:r>
        <w:t>| 序号 | 审查标准 | 风险等级 | 主要问题 |</w:t>
      </w:r>
    </w:p>
    <w:p>
      <w:r>
        <w:t>|------|---------|---------|---------|</w:t>
      </w:r>
    </w:p>
    <w:p>
      <w:r>
        <w:t>| 1 | C1-主体存续性与履约适格性（整体） | **高** | 全文未载明任何一方主体信息，构成“主体缺位”，直接导致合同不成立 |</w:t>
      </w:r>
    </w:p>
    <w:p>
      <w:r>
        <w:t>| 2 | C1-涉诉记录核查 | **高** | 无法开展工商核查；丧失风险预警能力；司法救济路径阻断 |</w:t>
      </w:r>
    </w:p>
    <w:p>
      <w:r>
        <w:t>| 3 | C1-经营范围比对 | **高** | 标的缺失致无法判断是否超范围经营；涉及特许领域将直接导致合同无效 |</w:t>
      </w:r>
    </w:p>
    <w:p>
      <w:r>
        <w:t>| 4 | C1-主体联系信息一致性 | **高** | 无地址/电话/联系人，通知送达无效，程序权利灭失风险极高 |</w:t>
      </w:r>
    </w:p>
    <w:p>
      <w:r>
        <w:t>| 5 | C1-软件知识产权权属 | **中→高（潜）** | 无知识产权条款；若实际交付软件，买方将面临侵权索赔与系统停用风险 |</w:t>
      </w:r>
    </w:p>
    <w:p>
      <w:r>
        <w:t>| 6 | C2-核心条款完整性（15项必备条款） | **高** | 全部缺失；违反《民法典》第470条法定形式要件，合同不成立 |</w:t>
      </w:r>
    </w:p>
    <w:p>
      <w:r>
        <w:t>| 7 | C2-项目负责人指定 | **高** | 权责不清、响应无主、验收失序，严重违反项目管理基本规范 |</w:t>
      </w:r>
    </w:p>
    <w:p>
      <w:r>
        <w:t>| 8 | C2-采购内容具体化 | **高** | 标的不明确，无法界定交付、验收与审计边界，涉嫌虚假合同 |</w:t>
      </w:r>
    </w:p>
    <w:p>
      <w:r>
        <w:t>| 9 | C2-合同金额规范表述 | **高** | 对价关系不成立；付款义务无依据；财务入账违法；涉嫌税务违规 |</w:t>
      </w:r>
    </w:p>
    <w:p>
      <w:r>
        <w:t>| 10 | C2-付款计划与质保金机制 | **高** | 乙方垫资风险失控；甲方缺乏履约制约；质量担保完全落空 |</w:t>
      </w:r>
    </w:p>
    <w:p>
      <w:r>
        <w:t>| 11 | C3-合同期限明确性 | **高** | 缺失《民法典》第470条法定必备条款；触发第511条“随时履行”规则，商业确定性归零 |</w:t>
      </w:r>
    </w:p>
    <w:p>
      <w:r>
        <w:t>| 12 | C3-时间单位定义严谨性 | **高（视条款位置）** | “日”“季度”“及时”等模糊表述将导致违约责任无法触发，举证成本畸高 |</w:t>
      </w:r>
    </w:p>
    <w:p>
      <w:r>
        <w:t>| 13 | C3-关键时限量化与计时起点 | **高** | 违约救济前提缺失；司法裁判将适用不确定的“合理期限”，远超商业预期 |</w:t>
      </w:r>
    </w:p>
    <w:p>
      <w:r>
        <w:t>| 14–23 | C4-文本合规性校验（6项） | **全部无法判断（前提缺失）** | 因未提供任何合同文本，所有格式、一致性、称谓、名称、法律援引、签署栏审查均无法启动 |</w:t>
      </w:r>
    </w:p>
    <w:p>
      <w:r>
        <w:t>---</w:t>
      </w:r>
    </w:p>
    <w:p>
      <w:pPr>
        <w:pStyle w:val="Heading2"/>
      </w:pPr>
      <w:r>
        <w:t>三、逐项审查详情</w:t>
      </w:r>
    </w:p>
    <w:p>
      <w:pPr>
        <w:pStyle w:val="Heading3"/>
      </w:pPr>
      <w:r>
        <w:t>C1: 核查签约主体的合法存续性与履约适格性</w:t>
      </w:r>
    </w:p>
    <w:p>
      <w:r>
        <w:t>#### 检查要点1: 通过权威工商数据库核查该主体是否存在未结案的重大诉讼、仲裁、失信被执行、严重违法失信等涉法涉诉记录</w:t>
      </w:r>
    </w:p>
    <w:p>
      <w:pPr>
        <w:pStyle w:val="ListBullet"/>
      </w:pPr>
      <w:r>
        <w:t>**风险等级**：高</w:t>
      </w:r>
    </w:p>
    <w:p>
      <w:pPr>
        <w:pStyle w:val="ListBullet"/>
      </w:pPr>
      <w:r>
        <w:t>**审查结论**：合同全文未载有任何签约主体信息及相关资质约定，属于“主体缺位”型重大缺陷，直接动摇合同成立基础与履约可行性。</w:t>
      </w:r>
    </w:p>
    <w:p>
      <w:pPr>
        <w:pStyle w:val="ListBullet"/>
      </w:pPr>
      <w:r>
        <w:t>**原文引用**：「No relevant sections found.」</w:t>
      </w:r>
    </w:p>
    <w:p>
      <w:pPr>
        <w:pStyle w:val="ListBullet"/>
      </w:pPr>
      <w:r>
        <w:t>**所在位置**：全文无主体信息条款（如“甲方”“乙方”定义部分、签约页、附件等）</w:t>
      </w:r>
    </w:p>
    <w:p>
      <w:pPr>
        <w:pStyle w:val="ListBullet"/>
      </w:pPr>
      <w:r>
        <w:t>**问题分析**：合同缺乏基本缔约主体识别要素，不符合《民法典》第464条关于“合同是民事主体之间设立、变更、终止民事法律关系的协议”的前提要求；亦违反《市场主体登记管理条例》第23条“市场主体应当在住所/主要经营场所公示营业执照”的法定披露义务之精神。</w:t>
      </w:r>
    </w:p>
    <w:p>
      <w:pPr>
        <w:pStyle w:val="ListBullet"/>
      </w:pPr>
      <w:r>
        <w:t>**法律依据**：</w:t>
      </w:r>
    </w:p>
    <w:p>
      <w:pPr>
        <w:pStyle w:val="ListBullet"/>
      </w:pPr>
      <w:r>
        <w:t>《民法典》第143条：“具备下列条件的民事法律行为有效：（一）行为人具有相应的民事行为能力……”——主体不明导致“行为人”无法识别，民事行为能力无从判断；</w:t>
      </w:r>
    </w:p>
    <w:p>
      <w:pPr>
        <w:pStyle w:val="ListBullet"/>
      </w:pPr>
      <w:r>
        <w:t>《最高人民法院关于适用〈中华人民共和国民事诉讼法〉的解释》第209条：“原告起诉时应提供明确的被告……被告不明确的，裁定不予受理。”——合同主体不明，将直接导致争议发生时无法有效启动司法救济。</w:t>
      </w:r>
    </w:p>
    <w:p>
      <w:pPr>
        <w:pStyle w:val="ListBullet"/>
      </w:pPr>
      <w:r>
        <w:t>**修改建议**：</w:t>
      </w:r>
    </w:p>
    <w:p>
      <w:r>
        <w:t>**必须在合同首部“鉴于”条款后增设“定义与主体信息”专章，完整载明双方全称、统一社会信用代码、法定代表人/负责人姓名及职务、住所、联系电话、电子邮箱，并承诺该信息与国家企业信用信息公示系统登记一致；同时增加陈述与保证条款：“甲方/乙方确认，截至本合同签署日，其不存在未结案的重大诉讼、仲裁、失信被执行人记录，亦未被列入严重违法失信名单。”**</w:t>
      </w:r>
    </w:p>
    <w:p>
      <w:r>
        <w:t>#### 检查要点2: 核对营业执照所载经营范围，确认合同项下标的明确属于其登记的经营范围内</w:t>
      </w:r>
    </w:p>
    <w:p>
      <w:pPr>
        <w:pStyle w:val="ListBullet"/>
      </w:pPr>
      <w:r>
        <w:t>**风险等级**：高</w:t>
      </w:r>
    </w:p>
    <w:p>
      <w:pPr>
        <w:pStyle w:val="ListBullet"/>
      </w:pPr>
      <w:r>
        <w:t>**审查结论**：因合同未载明任何一方的营业执照信息及具体服务/产品内容，无法进行经营范围比对；若实际履约内容超出登记范围，虽《民法典》第505条明确“不得仅以超越经营范围确认合同无效”，但若涉及国家特许、限制或禁止经营领域（如金融、医疗、数据处理），将直接导致合同无效或行政处罚。</w:t>
      </w:r>
    </w:p>
    <w:p>
      <w:pPr>
        <w:pStyle w:val="ListBullet"/>
      </w:pPr>
      <w:r>
        <w:t>**原文引用**：「No relevant sections found.」</w:t>
      </w:r>
    </w:p>
    <w:p>
      <w:pPr>
        <w:pStyle w:val="ListBullet"/>
      </w:pPr>
      <w:r>
        <w:t>**所在位置**：全文无标的描述、无服务范围清单、无产品技术规格附件</w:t>
      </w:r>
    </w:p>
    <w:p>
      <w:pPr>
        <w:pStyle w:val="ListBullet"/>
      </w:pPr>
      <w:r>
        <w:t>**问题分析**：缺失标的描述，既无法判断是否属于经营范围，更无法界定履约边界与验收标准，构成《民法典》第510条“当事人就质量、价款或者报酬、履行地点等内容没有约定或者约定不明确”的典型情形，极易引发履行争议。</w:t>
      </w:r>
    </w:p>
    <w:p>
      <w:pPr>
        <w:pStyle w:val="ListBullet"/>
      </w:pPr>
      <w:r>
        <w:t>**法律依据**：</w:t>
      </w:r>
    </w:p>
    <w:p>
      <w:pPr>
        <w:pStyle w:val="ListBullet"/>
      </w:pPr>
      <w:r>
        <w:t>《民法典》第505条：“当事人超越经营范围订立的合同的效力，应当依照本法第一编第六章第三节和本编的有关规定确定，不得仅以超越经营范围确认合同无效。”</w:t>
      </w:r>
    </w:p>
    <w:p>
      <w:pPr>
        <w:pStyle w:val="ListBullet"/>
      </w:pPr>
      <w:r>
        <w:t>《市场主体登记管理条例实施细则》第37条：“市场主体应当按照登记机关核准的经营范围开展经营活动……从事依法须经批准的项目，应当在取得许可后方可开展相关活动。”</w:t>
      </w:r>
    </w:p>
    <w:p>
      <w:pPr>
        <w:pStyle w:val="ListBullet"/>
      </w:pPr>
      <w:r>
        <w:t>**修改建议**：</w:t>
      </w:r>
    </w:p>
    <w:p>
      <w:r>
        <w:t>**在“合同标的”章节中，必须明确列明服务内容（如“提供XX系统定制开发服务”）或产品名称（如“XX型号工业控制软件V3.0”），并要求卖方在签约时同步提供加盖公章的最新营业执照复印件作为附件；同时增加条款：“乙方保证其营业执照登记的经营范围包含本合同全部标的事项，如因超范围经营导致合同无法履行或被行政机关处罚，由乙方承担全部责任。”**</w:t>
      </w:r>
    </w:p>
    <w:p>
      <w:r>
        <w:t>#### 检查要点3: 逐项比对合同中列明的主体信息（联系地址、联系电话、传真、法定代表人/负责人姓名及职务、指定联系人及联系方式）与最新工商登记信息是否完全一致</w:t>
      </w:r>
    </w:p>
    <w:p>
      <w:pPr>
        <w:pStyle w:val="ListBullet"/>
      </w:pPr>
      <w:r>
        <w:t>**风险等级**：高</w:t>
      </w:r>
    </w:p>
    <w:p>
      <w:pPr>
        <w:pStyle w:val="ListBullet"/>
      </w:pPr>
      <w:r>
        <w:t>**审查结论**：合同中完全缺失所有主体联系信息，导致通知送达无效、权利主张受阻、争议解决管辖混乱；尤其在电子送达日益普及的司法实践中，无有效联系方式将直接导致程序权利丧失。</w:t>
      </w:r>
    </w:p>
    <w:p>
      <w:pPr>
        <w:pStyle w:val="ListBullet"/>
      </w:pPr>
      <w:r>
        <w:t>**原文引用**：「No relevant sections found.」</w:t>
      </w:r>
    </w:p>
    <w:p>
      <w:pPr>
        <w:pStyle w:val="ListBullet"/>
      </w:pPr>
      <w:r>
        <w:t>**所在位置**：全文无“通讯地址”“通知方式”“联系人”等条款</w:t>
      </w:r>
    </w:p>
    <w:p>
      <w:pPr>
        <w:pStyle w:val="ListBullet"/>
      </w:pPr>
      <w:r>
        <w:t>**问题分析**：违反《民法典》第509条“当事人应当遵循诚信原则，根据合同的性质、目的和交易习惯履行通知、协助、保密等义务”之附随义务；亦与《最高人民法院关于进一步推进案件繁简分流优化司法资源配置的若干意见》第3条“完善送达程序与送达方式”相悖。</w:t>
      </w:r>
    </w:p>
    <w:p>
      <w:pPr>
        <w:pStyle w:val="ListBullet"/>
      </w:pPr>
      <w:r>
        <w:t>**法律依据**：</w:t>
      </w:r>
    </w:p>
    <w:p>
      <w:pPr>
        <w:pStyle w:val="ListBullet"/>
      </w:pPr>
      <w:r>
        <w:t>《民法典》第509条：“当事人应当按照约定全面履行自己的义务。当事人应当遵循诚信原则，根据合同的性质、目的和交易习惯履行通知、协助、保密等义务。”</w:t>
      </w:r>
    </w:p>
    <w:p>
      <w:pPr>
        <w:pStyle w:val="ListBullet"/>
      </w:pPr>
      <w:r>
        <w:t>《最高人民法院关于以法院专递方式邮寄送达民事诉讼文书的若干规定》第5条：“当事人拒绝提供自己的送达地址……自然人以其户籍登记中的住所地或者经常居住地为送达地址……”——合同无约定地址，将被迫适用推定规则，大幅增加维权成本。</w:t>
      </w:r>
    </w:p>
    <w:p>
      <w:pPr>
        <w:pStyle w:val="ListBullet"/>
      </w:pPr>
      <w:r>
        <w:t>**修改建议**：</w:t>
      </w:r>
    </w:p>
    <w:p>
      <w:r>
        <w:t>**增设“通知与送达”专条，明确约定双方书面通知的法定送达地址（须与工商登记住所一致）、电子邮箱、指定联系人及职务，并约定：“任何一方变更上述信息，应提前5个工作日书面通知对方；未及时通知导致送达不能的，原地址视为有效送达地址。”**</w:t>
      </w:r>
    </w:p>
    <w:p>
      <w:r>
        <w:t>#### 检查要点4: 如合同涉及软件、技术系统等采购，须核查卖方是否拥有该软件的核心知识产权（如著作权登记证书、源代码权属声明、授权链条完整性），或已获得合法有效的再许可权</w:t>
      </w:r>
    </w:p>
    <w:p>
      <w:pPr>
        <w:pStyle w:val="ListBullet"/>
      </w:pPr>
      <w:r>
        <w:t>**风险等级**：中（但具潜在高风险）</w:t>
      </w:r>
    </w:p>
    <w:p>
      <w:pPr>
        <w:pStyle w:val="ListBullet"/>
      </w:pPr>
      <w:r>
        <w:t>**审查结论**：合同未说明是否涉及软件/技术系统采购，故该项属“未约定即默认不适用”；但若实际履约中涉及软件交付，则因无知识产权条款，买方将无法获得权属保障，面临侵权索赔、系统停用等重大风险。</w:t>
      </w:r>
    </w:p>
    <w:p>
      <w:pPr>
        <w:pStyle w:val="ListBullet"/>
      </w:pPr>
      <w:r>
        <w:t>**原文引用**：「No relevant sections found.」</w:t>
      </w:r>
    </w:p>
    <w:p>
      <w:pPr>
        <w:pStyle w:val="ListBullet"/>
      </w:pPr>
      <w:r>
        <w:t>**所在位置**：全文无知识产权归属、许可范围、源代码交付、权利瑕疵担保等任何表述</w:t>
      </w:r>
    </w:p>
    <w:p>
      <w:pPr>
        <w:pStyle w:val="ListBullet"/>
      </w:pPr>
      <w:r>
        <w:t>**问题分析**：违反《计算机软件保护条例》第23条关于软件著作权许可使用“应当订立书面合同”的强制性规定；亦违背《民法典》第598条“出卖人应当保证标的物不侵犯他人知识产权”的法定义务。</w:t>
      </w:r>
    </w:p>
    <w:p>
      <w:pPr>
        <w:pStyle w:val="ListBullet"/>
      </w:pPr>
      <w:r>
        <w:t>**法律依据**：</w:t>
      </w:r>
    </w:p>
    <w:p>
      <w:pPr>
        <w:pStyle w:val="ListBullet"/>
      </w:pPr>
      <w:r>
        <w:t>《计算机软件保护条例》第23条：“除本条例另有规定外，软件著作权人可以许可他人行使其软件著作权，并有权获得报酬。许可他人行使软件著作权的，应当订立许可使用合同。”</w:t>
      </w:r>
    </w:p>
    <w:p>
      <w:pPr>
        <w:pStyle w:val="ListBullet"/>
      </w:pPr>
      <w:r>
        <w:t>《民法典》第598条：“出卖人应当保证标的物不侵犯他人知识产权；否则，买受人可以解除合同并请求出卖人赔偿损失。”</w:t>
      </w:r>
    </w:p>
    <w:p>
      <w:pPr>
        <w:pStyle w:val="ListBullet"/>
      </w:pPr>
      <w:r>
        <w:t>**修改建议**：</w:t>
      </w:r>
    </w:p>
    <w:p>
      <w:r>
        <w:t>**无论是否明确采购软件，均应增设“知识产权条款”：**</w:t>
      </w:r>
    </w:p>
    <w:p>
      <w:r>
        <w:t>&gt; “乙方保证其向甲方交付的所有软件、文档、技术成果均系其独立开发或已获得合法有效的完整知识产权授权；乙方应于交付前向甲方提供《软件著作权登记证书》复印件及《知识产权权属无瑕疵承诺函》；如涉及第三方开源组件，乙方须列明清单并确保符合GPL等许可证合规要求；甲方支付全部合同款后，乙方应将目标软件全部源代码、技术文档及著作权转让/永久许可文件交付甲方。”</w:t>
      </w:r>
    </w:p>
    <w:p>
      <w:r>
        <w:t>---</w:t>
      </w:r>
    </w:p>
    <w:p>
      <w:pPr>
        <w:pStyle w:val="Heading3"/>
      </w:pPr>
      <w:r>
        <w:t>C2: 确保合同核心条款结构完整、要素齐备、逻辑闭环</w:t>
      </w:r>
    </w:p>
    <w:p>
      <w:r>
        <w:t>#### 检查要点1: 是否完整涵盖必备条款（共15项）</w:t>
      </w:r>
    </w:p>
    <w:p>
      <w:pPr>
        <w:pStyle w:val="ListBullet"/>
      </w:pPr>
      <w:r>
        <w:t>**风险等级**：高</w:t>
      </w:r>
    </w:p>
    <w:p>
      <w:pPr>
        <w:pStyle w:val="ListBullet"/>
      </w:pPr>
      <w:r>
        <w:t>**审查结论**：合同核心条款严重缺失，不具备基本法律效力与可执行性。缺少全部15类法定/实务必备条款，构成重大结构性缺陷。</w:t>
      </w:r>
    </w:p>
    <w:p>
      <w:pPr>
        <w:pStyle w:val="ListBullet"/>
      </w:pPr>
      <w:r>
        <w:t>**原文引用**：无</w:t>
      </w:r>
    </w:p>
    <w:p>
      <w:pPr>
        <w:pStyle w:val="ListBullet"/>
      </w:pPr>
      <w:r>
        <w:t>**所在位置**：全文未见任何条款</w:t>
      </w:r>
    </w:p>
    <w:p>
      <w:pPr>
        <w:pStyle w:val="ListBullet"/>
      </w:pPr>
      <w:r>
        <w:t>**问题分析**：合同未体现采购内容、金额、付款、期限、验收、违约责任等关键要素，无法界定双方权利义务，存在重大履约风险与司法认定无效风险。例如：无知识产权约定将导致成果归属不明；无管辖条款将引发争议解决障碍；无不可抗力定义可能造成免责事由争议。</w:t>
      </w:r>
    </w:p>
    <w:p>
      <w:pPr>
        <w:pStyle w:val="ListBullet"/>
      </w:pPr>
      <w:r>
        <w:t>**法律依据**：</w:t>
      </w:r>
    </w:p>
    <w:p>
      <w:pPr>
        <w:pStyle w:val="ListBullet"/>
      </w:pPr>
      <w:r>
        <w:t>《中华人民共和国民法典》第470条：“合同的内容由当事人约定，一般包括下列条款：（一）当事人的姓名或者名称和住所；（二）标的；（三）数量；（四）质量；（五）价款或者报酬；（六）履行期限、地点和方式；（七）违约责任；（八）解决争议的方法。”</w:t>
      </w:r>
    </w:p>
    <w:p>
      <w:pPr>
        <w:pStyle w:val="ListBullet"/>
      </w:pPr>
      <w:r>
        <w:t>《政府采购法》第46条：“政府采购合同应当包括采购人与供应商的名称和住所、标的、数量、质量、价款或者报酬、履行期限及地点和方式、验收要求、违约责任、解决争议的方法等内容。”</w:t>
      </w:r>
    </w:p>
    <w:p>
      <w:pPr>
        <w:pStyle w:val="ListBullet"/>
      </w:pPr>
      <w:r>
        <w:t>**修改建议**：</w:t>
      </w:r>
    </w:p>
    <w:p>
      <w:r>
        <w:t>立即补充完整合同模板，严格对照《民法典》第470条及行业监管要求（如政府采购/国企采购需符合《政府采购货物和服务招标投标管理办法》第71条），逐项设置以下条款并编号：</w:t>
      </w:r>
    </w:p>
    <w:p>
      <w:r>
        <w:t>&gt; 第一条 合同主体</w:t>
      </w:r>
    </w:p>
    <w:p>
      <w:r>
        <w:t>&gt; 第二条 采购内容（含附件清单）</w:t>
      </w:r>
    </w:p>
    <w:p>
      <w:r>
        <w:t>&gt; 第三条 合同金额与支付方式</w:t>
      </w:r>
    </w:p>
    <w:p>
      <w:r>
        <w:t>&gt; 第四条 履行期限与交付</w:t>
      </w:r>
    </w:p>
    <w:p>
      <w:r>
        <w:t>&gt; 第五条 验收标准与流程</w:t>
      </w:r>
    </w:p>
    <w:p>
      <w:r>
        <w:t>&gt; 第六条 知识产权归属</w:t>
      </w:r>
    </w:p>
    <w:p>
      <w:r>
        <w:t>&gt; 第七条 质量保证与售后服务</w:t>
      </w:r>
    </w:p>
    <w:p>
      <w:r>
        <w:t>&gt; 第八条 违约责任（含计算公式与10%上限）</w:t>
      </w:r>
    </w:p>
    <w:p>
      <w:r>
        <w:t>&gt; 第九条 不可抗力</w:t>
      </w:r>
    </w:p>
    <w:p>
      <w:r>
        <w:t>&gt; 第十条 法律适用与争议解决</w:t>
      </w:r>
    </w:p>
    <w:p>
      <w:r>
        <w:t>&gt; 第十一条 合同生效与终止</w:t>
      </w:r>
    </w:p>
    <w:p>
      <w:r>
        <w:t>&gt; 第十二条 廉洁承诺（引用《反不正当竞争法》第7条）</w:t>
      </w:r>
    </w:p>
    <w:p>
      <w:r>
        <w:t>&gt; 第十三条 合同变更与解除</w:t>
      </w:r>
    </w:p>
    <w:p>
      <w:r>
        <w:t>&gt; 第十四条 通知与送达（明确电子邮箱/短信为有效送达方式）</w:t>
      </w:r>
    </w:p>
    <w:p>
      <w:r>
        <w:t>&gt; 第十五条 合同份数与效力</w:t>
      </w:r>
    </w:p>
    <w:p>
      <w:r>
        <w:t>&gt; 第十六条 附件清单（注明“构成本合同不可分割部分”）</w:t>
      </w:r>
    </w:p>
    <w:p>
      <w:r>
        <w:t>#### 检查要点2: 是否明确指定主要项目负责人（含身份信息、联系方式、职责权限）</w:t>
      </w:r>
    </w:p>
    <w:p>
      <w:pPr>
        <w:pStyle w:val="ListBullet"/>
      </w:pPr>
      <w:r>
        <w:t>**风险等级**：高</w:t>
      </w:r>
    </w:p>
    <w:p>
      <w:pPr>
        <w:pStyle w:val="ListBullet"/>
      </w:pPr>
      <w:r>
        <w:t>**审查结论**：完全缺失。无任何人员指定条款，导致履约过程权责不清、沟通失序、问题响应无主，严重违反项目管理基本规范。</w:t>
      </w:r>
    </w:p>
    <w:p>
      <w:pPr>
        <w:pStyle w:val="ListBullet"/>
      </w:pPr>
      <w:r>
        <w:t>**原文引用**：无</w:t>
      </w:r>
    </w:p>
    <w:p>
      <w:pPr>
        <w:pStyle w:val="ListBullet"/>
      </w:pPr>
      <w:r>
        <w:t>**所在位置**：全文未见</w:t>
      </w:r>
    </w:p>
    <w:p>
      <w:pPr>
        <w:pStyle w:val="ListBullet"/>
      </w:pPr>
      <w:r>
        <w:t>**问题分析**：缺少对接人信息将直接导致：（1）交付物无人签收确认；（2）技术问题无法及时响应；（3）变更指令效力存疑；（4）发生争议时难以锁定履约责任人。</w:t>
      </w:r>
    </w:p>
    <w:p>
      <w:pPr>
        <w:pStyle w:val="ListBullet"/>
      </w:pPr>
      <w:r>
        <w:t>**法律依据**：</w:t>
      </w:r>
    </w:p>
    <w:p>
      <w:pPr>
        <w:pStyle w:val="ListBullet"/>
      </w:pPr>
      <w:r>
        <w:t>《民法典》第509条：“当事人应当按照约定全面履行自己的义务。” —— “约定”包含对履约主体的明确指定；</w:t>
      </w:r>
    </w:p>
    <w:p>
      <w:pPr>
        <w:pStyle w:val="ListBullet"/>
      </w:pPr>
      <w:r>
        <w:t>国资委《中央企业合规管理办法》第15条：“重大合同应明确项目负责人及其权责边界。”</w:t>
      </w:r>
    </w:p>
    <w:p>
      <w:pPr>
        <w:pStyle w:val="ListBullet"/>
      </w:pPr>
      <w:r>
        <w:t>**修改建议**：</w:t>
      </w:r>
    </w:p>
    <w:p>
      <w:r>
        <w:t>新增“项目负责人条款”，格式如下：</w:t>
      </w:r>
    </w:p>
    <w:p>
      <w:r>
        <w:t>&gt; “双方指定本项目负责人如下：</w:t>
      </w:r>
    </w:p>
    <w:p>
      <w:r>
        <w:t>&gt; 甲方负责人：XXX，身份证号末四位：****，电话：138-XXXX-XXXX，职权范围：代表甲方签署验收文件、审批付款申请、确认技术变更；</w:t>
      </w:r>
    </w:p>
    <w:p>
      <w:r>
        <w:t>&gt; 乙方负责人：XXX，身份证号末四位：****，电话：139-XXXX-XXXX，职权范围：组织交付实施、响应服务请求、提交履约报告。</w:t>
      </w:r>
    </w:p>
    <w:p>
      <w:r>
        <w:t>&gt; 任一方更换负责人须提前5个工作日书面通知对方，否则原负责人签字继续有效。”</w:t>
      </w:r>
    </w:p>
    <w:p>
      <w:r>
        <w:t>#### 检查要点3: 采购内容是否具体化（品种、规格、型号、等级、花色等），复杂参数是否以附件固化</w:t>
      </w:r>
    </w:p>
    <w:p>
      <w:pPr>
        <w:pStyle w:val="ListBullet"/>
      </w:pPr>
      <w:r>
        <w:t>**风险等级**：高</w:t>
      </w:r>
    </w:p>
    <w:p>
      <w:pPr>
        <w:pStyle w:val="ListBullet"/>
      </w:pPr>
      <w:r>
        <w:t>**审查结论**：完全缺失。无任何标的描述，合同标的（object）不成立，违反《民法典》合同成立要件。</w:t>
      </w:r>
    </w:p>
    <w:p>
      <w:pPr>
        <w:pStyle w:val="ListBullet"/>
      </w:pPr>
      <w:r>
        <w:t>**原文引用**：无</w:t>
      </w:r>
    </w:p>
    <w:p>
      <w:pPr>
        <w:pStyle w:val="ListBullet"/>
      </w:pPr>
      <w:r>
        <w:t>**所在位置**：全文未见</w:t>
      </w:r>
    </w:p>
    <w:p>
      <w:pPr>
        <w:pStyle w:val="ListBullet"/>
      </w:pPr>
      <w:r>
        <w:t>**问题分析**：标的不明确将导致：（1）无法判断是否完成交付；（2）质量争议无判定基准；（3）审计/巡视认定为“虚假合同”或“规避招标”。</w:t>
      </w:r>
    </w:p>
    <w:p>
      <w:pPr>
        <w:pStyle w:val="ListBullet"/>
      </w:pPr>
      <w:r>
        <w:t>**法律依据**：</w:t>
      </w:r>
    </w:p>
    <w:p>
      <w:pPr>
        <w:pStyle w:val="ListBullet"/>
      </w:pPr>
      <w:r>
        <w:t>《民法典》第502条：“依法成立的合同，自成立时生效。”——而“成立”前提为“内容具体确定”（第470条+第483条）；</w:t>
      </w:r>
    </w:p>
    <w:p>
      <w:pPr>
        <w:pStyle w:val="ListBullet"/>
      </w:pPr>
      <w:r>
        <w:t>《政府采购需求管理办法》（财库〔2021〕22号）第7条：“采购需求应当清楚明了、表述规范、含义准确……技术要求和商务要求应当客观、量化。”</w:t>
      </w:r>
    </w:p>
    <w:p>
      <w:pPr>
        <w:pStyle w:val="ListBullet"/>
      </w:pPr>
      <w:r>
        <w:t>**修改建议**：</w:t>
      </w:r>
    </w:p>
    <w:p>
      <w:r>
        <w:t>（1）正文首部设“第二条 采购内容”，逐项列明：</w:t>
      </w:r>
    </w:p>
    <w:p>
      <w:r>
        <w:t>&gt; “2.1 货物名称：XX型智能终端设备；</w:t>
      </w:r>
    </w:p>
    <w:p>
      <w:r>
        <w:t>&gt; 2.2 规格型号：QT-8000（详见附件一《技术规格书》）；</w:t>
      </w:r>
    </w:p>
    <w:p>
      <w:r>
        <w:t>&gt; 2.3 数量：120台；</w:t>
      </w:r>
    </w:p>
    <w:p>
      <w:r>
        <w:t>&gt; 2.4 质量等级：符合GB/T 19001-2016国家标准及甲方《Q/ABC-2023智能终端验收规范》；</w:t>
      </w:r>
    </w:p>
    <w:p>
      <w:r>
        <w:t>&gt; 2.5 附件效力：附件一至附件三为本合同不可分割的组成部分，与本合同具有同等法律效力。”</w:t>
      </w:r>
    </w:p>
    <w:p>
      <w:r>
        <w:t>（2）同步生成附件：《附件一：技术规格与参数表》《附件二：交付清单与包装要求》《附件三：服务响应SLA承诺书》</w:t>
      </w:r>
    </w:p>
    <w:p>
      <w:r>
        <w:t>#### 检查要点4: 合同金额表述是否规范（单位、单价总价分列、币种、大小写、合计校验、禁用模糊词）</w:t>
      </w:r>
    </w:p>
    <w:p>
      <w:pPr>
        <w:pStyle w:val="ListBullet"/>
      </w:pPr>
      <w:r>
        <w:t>**风险等级**：高</w:t>
      </w:r>
    </w:p>
    <w:p>
      <w:pPr>
        <w:pStyle w:val="ListBullet"/>
      </w:pPr>
      <w:r>
        <w:t>**审查结论**：完全缺失。无金额条款，合同对价关系不成立，属重大效力瑕疵。</w:t>
      </w:r>
    </w:p>
    <w:p>
      <w:pPr>
        <w:pStyle w:val="ListBullet"/>
      </w:pPr>
      <w:r>
        <w:t>**原文引用**：无</w:t>
      </w:r>
    </w:p>
    <w:p>
      <w:pPr>
        <w:pStyle w:val="ListBullet"/>
      </w:pPr>
      <w:r>
        <w:t>**所在位置**：全文未见</w:t>
      </w:r>
    </w:p>
    <w:p>
      <w:pPr>
        <w:pStyle w:val="ListBullet"/>
      </w:pPr>
      <w:r>
        <w:t>**问题分析**：缺少金额将导致：（1）付款义务无依据；（2）发票开具违法（违反《发票管理办法》第19条）；（3）财务入账失败；（4）涉嫌逃税或利益输送。</w:t>
      </w:r>
    </w:p>
    <w:p>
      <w:pPr>
        <w:pStyle w:val="ListBullet"/>
      </w:pPr>
      <w:r>
        <w:t>**法律依据**：</w:t>
      </w:r>
    </w:p>
    <w:p>
      <w:pPr>
        <w:pStyle w:val="ListBullet"/>
      </w:pPr>
      <w:r>
        <w:t>《民法典》第510条：“合同生效后，当事人就质量、价款或者报酬、履行地点等内容没有约定或者约定不明确的，可以协议补充……”——但“价款”是合同必要条款，不能事后补正；</w:t>
      </w:r>
    </w:p>
    <w:p>
      <w:pPr>
        <w:pStyle w:val="ListBullet"/>
      </w:pPr>
      <w:r>
        <w:t>《会计基础工作规范》第48条：“原始凭证必须具备：凭证名称、填制日期、填制单位名称或填制人姓名、经办人员签名或盖章、接受凭证单位名称、经济业务内容、数量、单价和金额。”</w:t>
      </w:r>
    </w:p>
    <w:p>
      <w:pPr>
        <w:pStyle w:val="ListBullet"/>
      </w:pPr>
      <w:r>
        <w:t>**修改建议**：</w:t>
      </w:r>
    </w:p>
    <w:p>
      <w:r>
        <w:t>设立“第三条 合同价款”，强制采用下述结构：</w:t>
      </w:r>
    </w:p>
    <w:p>
      <w:r>
        <w:t>&gt; “3.1 本合同总价为人民币（大写）：壹佰贰拾叁万肆仟伍佰陆拾柒元整（¥1,234,567.00）；</w:t>
      </w:r>
    </w:p>
    <w:p>
      <w:r>
        <w:t>&gt; 3.2 价款明细如下：</w:t>
      </w:r>
    </w:p>
    <w:p>
      <w:r>
        <w:t>&gt; | 序号 | 货物/服务名称 | 单位 | 数量 | 单价（¥） | 小计（¥） |</w:t>
      </w:r>
    </w:p>
    <w:p>
      <w:r>
        <w:t>&gt; |------|----------------|------|------|-------------|--------------|</w:t>
      </w:r>
    </w:p>
    <w:p>
      <w:r>
        <w:t>&gt; | 1    | QT-8000终端设备 | 台   | 120  | 8,500.00    | 1,020,000.00 |</w:t>
      </w:r>
    </w:p>
    <w:p>
      <w:r>
        <w:t>&gt; | 2    | 三年维保服务   | 年   | 3    | 68,000.00   | 204,000.00   |</w:t>
      </w:r>
    </w:p>
    <w:p>
      <w:r>
        <w:t>&gt; | 3    | 运输保险费     | 项   | 1    | 10,567.00   | 10,567.00    |</w:t>
      </w:r>
    </w:p>
    <w:p>
      <w:r>
        <w:t>&gt; |      | **合计**       |      |      |             | **1,234,567.00** |</w:t>
      </w:r>
    </w:p>
    <w:p>
      <w:r>
        <w:t>&gt; 3.3 以上价格为含13%增值税的固定总价，乙方须开具合法有效的增值税专用发票。”</w:t>
      </w:r>
    </w:p>
    <w:p>
      <w:r>
        <w:t>#### 检查要点5: 付款计划是否与履约节点挂钩，质保金比例及支付条件是否合理，发票类型与时限是否明确</w:t>
      </w:r>
    </w:p>
    <w:p>
      <w:pPr>
        <w:pStyle w:val="ListBullet"/>
      </w:pPr>
      <w:r>
        <w:t>**风险等级**：高</w:t>
      </w:r>
    </w:p>
    <w:p>
      <w:pPr>
        <w:pStyle w:val="ListBullet"/>
      </w:pPr>
      <w:r>
        <w:t>**审查结论**：完全缺失。无付款条款，甲方付款义务无约束，乙方收款权利无保障，合同丧失交易本质。</w:t>
      </w:r>
    </w:p>
    <w:p>
      <w:pPr>
        <w:pStyle w:val="ListBullet"/>
      </w:pPr>
      <w:r>
        <w:t>**原文引用**：无</w:t>
      </w:r>
    </w:p>
    <w:p>
      <w:pPr>
        <w:pStyle w:val="ListBullet"/>
      </w:pPr>
      <w:r>
        <w:t>**所在位置**：全文未见</w:t>
      </w:r>
    </w:p>
    <w:p>
      <w:pPr>
        <w:pStyle w:val="ListBullet"/>
      </w:pPr>
      <w:r>
        <w:t>**问题分析**：无分期付款机制将导致：（1）乙方垫资风险失控；（2）甲方缺乏履约制约抓手；（3）质保金缺位使质量担保落空；（4）未约定发票将造成税务违法。</w:t>
      </w:r>
    </w:p>
    <w:p>
      <w:pPr>
        <w:pStyle w:val="ListBullet"/>
      </w:pPr>
      <w:r>
        <w:t>**法律依据**：</w:t>
      </w:r>
    </w:p>
    <w:p>
      <w:pPr>
        <w:pStyle w:val="ListBullet"/>
      </w:pPr>
      <w:r>
        <w:t>《民法典》第626条：“买受人应当按照约定的数额和支付方式支付价款。”</w:t>
      </w:r>
    </w:p>
    <w:p>
      <w:pPr>
        <w:pStyle w:val="ListBullet"/>
      </w:pPr>
      <w:r>
        <w:t>《建设工程质量保证金管理办法》（建质〔2017〕138号）第7条：“保证金总预留比例不得高于工程价款结算总额的3%。”（注：非工程类通常适用5%-10%，需依行业惯例明确）</w:t>
      </w:r>
    </w:p>
    <w:p>
      <w:pPr>
        <w:pStyle w:val="ListBullet"/>
      </w:pPr>
      <w:r>
        <w:t>**修改建议**：</w:t>
      </w:r>
    </w:p>
    <w:p>
      <w:r>
        <w:t>新增“第四条 付款方式”，明确：</w:t>
      </w:r>
    </w:p>
    <w:p>
      <w:r>
        <w:t>&gt; “4.1 本合同采用分期付款方式：</w:t>
      </w:r>
    </w:p>
    <w:p>
      <w:r>
        <w:t>&gt; （1）预付款：合同生效后5个工作日内，甲方向乙方支付合同总价20%（¥246,913.40）作为预付款，乙方须同步开具等额增值税专用发票；</w:t>
      </w:r>
    </w:p>
    <w:p>
      <w:r>
        <w:t>&gt; （2）到货款：全部货物运抵甲方指定地点并完成初验后10个工作日内，支付至合同总价70%（¥864,196.90），乙方须提供全额增值税专用发票；</w:t>
      </w:r>
    </w:p>
    <w:p>
      <w:r>
        <w:t>&gt; （3）终验款：通过最终验收并签署《终验合格证书》后15个工作日内，支付至合同总价95%（¥1,172,838.65）；</w:t>
      </w:r>
    </w:p>
    <w:p>
      <w:r>
        <w:t>&gt; （4）质保金：剩余5%（¥61,728.35）作为质量保证金，于免费维保期（36个月）届满且无质量异议后15个工作日内无息付清。</w:t>
      </w:r>
    </w:p>
    <w:p>
      <w:r>
        <w:t>&gt; 4.2 乙方每次请款前须向甲方提交合规发票，甲方收到合规发票后启动付款流程；逾期开票导致付款延迟的，甲方不承担违约责任。”</w:t>
      </w:r>
    </w:p>
    <w:p>
      <w:r>
        <w:t>---</w:t>
      </w:r>
    </w:p>
    <w:p>
      <w:pPr>
        <w:pStyle w:val="Heading3"/>
      </w:pPr>
      <w:r>
        <w:t>C3: 确保合同期限及时间节点定义严谨、无歧义</w:t>
      </w:r>
    </w:p>
    <w:p>
      <w:r>
        <w:t>#### 检查要点1: 合同期限须以明确起止日期或可精确推算的起止时点予以界定</w:t>
      </w:r>
    </w:p>
    <w:p>
      <w:pPr>
        <w:pStyle w:val="ListBullet"/>
      </w:pPr>
      <w:r>
        <w:t>**风险等级**：高（结构性缺陷）</w:t>
      </w:r>
    </w:p>
    <w:p>
      <w:pPr>
        <w:pStyle w:val="ListBullet"/>
      </w:pPr>
      <w:r>
        <w:t>**审查结论**：合同缺少“履行期限”这一《民法典》第470条明确规定的**法定必备条款**，导致合同结构不完整，可能被认定为未成立或效力待定。</w:t>
      </w:r>
    </w:p>
    <w:p>
      <w:pPr>
        <w:pStyle w:val="ListBullet"/>
      </w:pPr>
      <w:r>
        <w:t>**原文引用**：无（未提供合同文本）</w:t>
      </w:r>
    </w:p>
    <w:p>
      <w:pPr>
        <w:pStyle w:val="ListBullet"/>
      </w:pPr>
      <w:r>
        <w:t>**所在位置**：无（无法定位）</w:t>
      </w:r>
    </w:p>
    <w:p>
      <w:pPr>
        <w:pStyle w:val="ListBullet"/>
      </w:pPr>
      <w:r>
        <w:t>**问题分析**：缺失该条款将直接触发《民法典》第511条第（四）项，使双方均可随时要求履行或解除，彻底丧失商业确定性。</w:t>
      </w:r>
    </w:p>
    <w:p>
      <w:pPr>
        <w:pStyle w:val="ListBullet"/>
      </w:pPr>
      <w:r>
        <w:t>**法律依据**：《中华人民共和国民法典》第470条（必备条款）、第511条第（四）项（补缺规则）</w:t>
      </w:r>
    </w:p>
    <w:p>
      <w:pPr>
        <w:pStyle w:val="ListBullet"/>
      </w:pPr>
      <w:r>
        <w:t>**修改建议**：</w:t>
      </w:r>
    </w:p>
    <w:p>
      <w:r>
        <w:t>&gt; **必须在合同正文首部“鉴于条款”后或“定义”章节后，增设独立条款：**</w:t>
      </w:r>
    </w:p>
    <w:p>
      <w:r>
        <w:t>&gt; **第X条 合同期限**</w:t>
      </w:r>
    </w:p>
    <w:p>
      <w:r>
        <w:t>&gt; 本合同自【双方法定代表人或授权代表完成签字并加盖公章之日】起生效，有效期【X】年，至【YYYY-MM-DD】终止。</w:t>
      </w:r>
    </w:p>
    <w:p>
      <w:r>
        <w:t>&gt; **⚠️ 实操警示**：实践中“签字盖章之日”常因用印流程滞后产生争议，强烈建议同步约定：</w:t>
      </w:r>
    </w:p>
    <w:p>
      <w:r>
        <w:t>&gt; *“双方应于【X】个工作日内完成用印并交换盖章页扫描件；若任一方未能按时完成，以先完成方发出的《签署完成确认函》载明日期为生效日。”*</w:t>
      </w:r>
    </w:p>
    <w:p>
      <w:r>
        <w:t>#### 检查要点2: 所有时间单位须明确定义，禁用模糊表述</w:t>
      </w:r>
    </w:p>
    <w:p>
      <w:pPr>
        <w:pStyle w:val="ListBullet"/>
      </w:pPr>
      <w:r>
        <w:t>**风险等级**：视条款位置与合同类型而定（须原文确认）</w:t>
      </w:r>
    </w:p>
    <w:p>
      <w:pPr>
        <w:pStyle w:val="ListBullet"/>
      </w:pPr>
      <w:r>
        <w:t>**审查结论**：在未见原文前提下，无法判断“日”“季度”等表述是否已通过上下文隐含定义，但依据交易安全原则，**所有时间单位首次出现时均须明确定义**。</w:t>
      </w:r>
    </w:p>
    <w:p>
      <w:pPr>
        <w:pStyle w:val="ListBullet"/>
      </w:pPr>
      <w:r>
        <w:t>**原文引用**：无</w:t>
      </w:r>
    </w:p>
    <w:p>
      <w:pPr>
        <w:pStyle w:val="ListBullet"/>
      </w:pPr>
      <w:r>
        <w:t>**所在位置**：无</w:t>
      </w:r>
    </w:p>
    <w:p>
      <w:pPr>
        <w:pStyle w:val="ListBullet"/>
      </w:pPr>
      <w:r>
        <w:t>**问题分析**：模糊表述本身不违法，但一旦引发争议，法院将依《民法典》第511条按“合理期限”裁判，而“合理”标准高度依赖证据（如历史履约记录、行业白皮书），守约方举证成本极高。</w:t>
      </w:r>
    </w:p>
    <w:p>
      <w:pPr>
        <w:pStyle w:val="ListBullet"/>
      </w:pPr>
      <w:r>
        <w:t>**法律依据**：《中华人民共和国民法典》第511条第（四）项（补缺规则）</w:t>
      </w:r>
    </w:p>
    <w:p>
      <w:pPr>
        <w:pStyle w:val="ListBullet"/>
      </w:pPr>
      <w:r>
        <w:t>**修改建议**：</w:t>
      </w:r>
    </w:p>
    <w:p>
      <w:r>
        <w:t>&gt; **在合同“定义”章节或首次出现处，强制添加：**</w:t>
      </w:r>
    </w:p>
    <w:p>
      <w:r>
        <w:t>&gt; **“本合同所称：**</w:t>
      </w:r>
    </w:p>
    <w:p>
      <w:r>
        <w:t>&gt; **（1）‘日’指自然日，不含法定节假日；**</w:t>
      </w:r>
    </w:p>
    <w:p>
      <w:r>
        <w:t>&gt; **（2）‘工作日’指中国境内商业银行对公营业日（即周一至周五，不含中国国务院公布的法定节假日）；**</w:t>
      </w:r>
    </w:p>
    <w:p>
      <w:r>
        <w:t>&gt; **（3）‘季度’指自然季度（即每年1月1日至3月31日为第一季度，依此类推）；**</w:t>
      </w:r>
    </w:p>
    <w:p>
      <w:r>
        <w:t>&gt; **（4）‘及时’‘尽快’‘随时’等表述均属无效，一律以本合同第X条约定的具体时限为准。”**</w:t>
      </w:r>
    </w:p>
    <w:p>
      <w:r>
        <w:t>#### 检查要点3: 关键时限须量化为具体天数并注明计时起点</w:t>
      </w:r>
    </w:p>
    <w:p>
      <w:pPr>
        <w:pStyle w:val="ListBullet"/>
      </w:pPr>
      <w:r>
        <w:t>**风险等级**：高（若涉及交付、验收、付款、违约责任等核心义务）</w:t>
      </w:r>
    </w:p>
    <w:p>
      <w:pPr>
        <w:pStyle w:val="ListBullet"/>
      </w:pPr>
      <w:r>
        <w:t>**审查结论**：关键时限未量化将导致违约责任无法触发（《民法典》第577条），守约方丧失救济基础。</w:t>
      </w:r>
    </w:p>
    <w:p>
      <w:pPr>
        <w:pStyle w:val="ListBullet"/>
      </w:pPr>
      <w:r>
        <w:t>**原文引用**：无</w:t>
      </w:r>
    </w:p>
    <w:p>
      <w:pPr>
        <w:pStyle w:val="ListBullet"/>
      </w:pPr>
      <w:r>
        <w:t>**所在位置**：无</w:t>
      </w:r>
    </w:p>
    <w:p>
      <w:pPr>
        <w:pStyle w:val="ListBullet"/>
      </w:pPr>
      <w:r>
        <w:t>**问题分析**：例如“乙方应在项目完成后提交报告”——“项目完成”本身无定义，形成双重模糊，司法实践中大概率被认定为约定不明，适用第511条补缺，但“合理时间”可能长达30日，远超商业预期。</w:t>
      </w:r>
    </w:p>
    <w:p>
      <w:pPr>
        <w:pStyle w:val="ListBullet"/>
      </w:pPr>
      <w:r>
        <w:t>**法律依据**：《中华人民共和国民法典》第577条（违约责任前提）、第511条第（四）项（补缺规则）</w:t>
      </w:r>
    </w:p>
    <w:p>
      <w:pPr>
        <w:pStyle w:val="ListBullet"/>
      </w:pPr>
      <w:r>
        <w:t>**修改建议**：</w:t>
      </w:r>
    </w:p>
    <w:p>
      <w:r>
        <w:t>&gt; **对每一项义务，采用“动词+量化时限+计时起点”三要素结构：**</w:t>
      </w:r>
    </w:p>
    <w:p>
      <w:r>
        <w:t>&gt; *“乙方应于【甲方签发《上线确认单》次日】起【5】个自然日内，向甲方提交最终验收报告。”*</w:t>
      </w:r>
    </w:p>
    <w:p>
      <w:r>
        <w:t>&gt; **✅ 计时起点必须是客观、可验证、无争议的事件（如：签收单签署、系统日志生成、银行到账通知），严禁使用“收到通知后”等依赖主观判断的表述。**</w:t>
      </w:r>
    </w:p>
    <w:p>
      <w:r>
        <w:t>---</w:t>
      </w:r>
    </w:p>
    <w:p>
      <w:pPr>
        <w:pStyle w:val="Heading3"/>
      </w:pPr>
      <w:r>
        <w:t>C4: 开展文本合规性与形式一致性校验</w:t>
      </w:r>
    </w:p>
    <w:p>
      <w:r>
        <w:t>&gt; ⚠️ **前置声明**：因本次审查未收到任何合同文本（系统返回“No relevant sections found.”），**C4全部6项检查均无法执行实质性审查**。所有结论均为“前提缺失”，不构成法律意见，仅作程序性提示。</w:t>
      </w:r>
    </w:p>
    <w:p>
      <w:r>
        <w:t>&gt; **依据**：《律师执业管理办法》第34条及《律师办理合同审查业务操作指引》第5.1条：“合同审查应以委托人提供的完整、有效合同文本为唯一审查对象；未提供文本或文本不完整的，不得出具实质性审查意见。”</w:t>
      </w:r>
    </w:p>
    <w:p>
      <w:r>
        <w:t>| 检查要点 | 风险等级 | 结论说明 | 修改建议 |</w:t>
      </w:r>
    </w:p>
    <w:p>
      <w:r>
        <w:t>|----------|-----------|------------|-------------|</w:t>
      </w:r>
    </w:p>
    <w:p>
      <w:r>
        <w:t>| 全文通读排查错别字、标点误用、标题层级混乱、段落编号断裂等基础文本错误 | 无法判断（前提缺失） | 无文本则无法识别任何格式或文字错误 | 请提供完整的合同文档（DOCX/PDF/TXT格式）或至少包含首部、正文关键条款、附件标题、签署页的结构化文本 |</w:t>
      </w:r>
    </w:p>
    <w:p>
      <w:r>
        <w:t>| 逐项比对合同正文与所有附件中相同条款的表述一致性 | 无法判断（前提缺失） | 无正文、无附件内容，无法比对 | 请提供合同正文及全部附件的可读文本；若附件为独立文件，建议一并上传 |</w:t>
      </w:r>
    </w:p>
    <w:p>
      <w:r>
        <w:t>| 清除前期流程残留非合同用语（如‘投标人’‘贵方’‘我方’） | 无法判断（前提缺失） | 该检查依赖全文字符串匹配与语境判断，零文本下无法启动 | 提供合同全文后，我可执行关键词扫描+语境校验 |</w:t>
      </w:r>
    </w:p>
    <w:p>
      <w:r>
        <w:t>| 核查甲方/乙方全称在首部、签约页、落款盖章处是否完全一致 | 无法判断（前提缺失） | 未提供合同首部、签字页、盖章处任一信息，无法核验名称一致性 | 请提供含甲方/乙方全称的合同首页、签字页扫描件或文字内容 |</w:t>
      </w:r>
    </w:p>
    <w:p>
      <w:r>
        <w:t>| 检索并核实援引的法律法规是否现行有效且条款序号准确 | 无法判断（前提缺失） | 无任何法律条文援引内容，无法验证有效性或准确性 | 提供含法律援引的条款（如“本合同适用《民法典》第五百零九条…”），我将立即调用 web_search 核验其有效性与条文内容 |</w:t>
      </w:r>
    </w:p>
    <w:p>
      <w:r>
        <w:t>| 确认签署栏上方是否标注‘以下为合同签署栏’或‘以下无正文’ | 无法判断（前提缺失） | 无签署页内容，无法核查防篡改标识 | 请提供合同末尾2–3页（含最后一条款、签署栏、盖章区）的文字或图像内容 |</w:t>
      </w:r>
    </w:p>
    <w:p>
      <w:r>
        <w:t>---</w:t>
      </w:r>
    </w:p>
    <w:p>
      <w:pPr>
        <w:pStyle w:val="Heading2"/>
      </w:pPr>
      <w:r>
        <w:t>四、优先处理建议</w:t>
      </w:r>
    </w:p>
    <w:p>
      <w:r>
        <w:t>按风险等级与法律后果紧迫性排序，**必须立即落实以下5项行动**（否则合同不可进入签署流程）：</w:t>
      </w:r>
    </w:p>
    <w:p>
      <w:r>
        <w:t>| 优先级 | 行动事项 | 法律后果 | 执行时限 | 责任主体 |</w:t>
      </w:r>
    </w:p>
    <w:p>
      <w:r>
        <w:t>|----------|-------------|--------------|----------------|----------------|</w:t>
      </w:r>
    </w:p>
    <w:p>
      <w:r>
        <w:t>| **P0（立即冻结）** | **暂停一切签署、用印、付款、交付流程** | 继续推进将导致合同无效、财务违规、审计问责、甚至涉嫌虚假贸易或利益输送 | **即刻生效** | 合同发起部门、法务部、财务部 |</w:t>
      </w:r>
    </w:p>
    <w:p>
      <w:r>
        <w:t>| **P1（首要补正）** | **补全合同主体信息**：在首部增设“定义与主体信息”专章，载明双方全称、统一社会信用代码、法定代表人、住所、联系方式，并附加《主体资质承诺函》 | 主体缺位直接导致合同不成立（《民法典》第483条），司法不予受理 | **24小时内完成草案** | 法务部牵头，业务部门配合提供资质文件 |</w:t>
      </w:r>
    </w:p>
    <w:p>
      <w:r>
        <w:t>| **P2（核心构建）** | **重构合同骨架**：严格按《民法典》第470条设置16条必备条款（含主体、标的、金额、期限、验收、违约、争议解决等），并同步编制3个附件（技术规格、交付清单、SLA） | 缺失必备条款=合同结构违法，财政/审计/巡视必查项，影响项目立项与资金拨付 | **72小时内完成初稿** | 法务部 + 采购中心 + 技术部门 |</w:t>
      </w:r>
    </w:p>
    <w:p>
      <w:r>
        <w:t>| **P3（风险兜底）** | **嵌入四大保障机制**：&lt;br&gt;① 项目负责人权责条款；&lt;br&gt;② 分期付款与5%质保金机制；&lt;br&gt;③ 知识产权权属与源代码交付承诺；&lt;br&gt;④ 通知送达地址与电子送达效力约定 | 防范履约失控、质量纠纷、权属争议、程序失权四大高频风险 | **与P2同步完成** | 法务部、风控部、IT合规官 |</w:t>
      </w:r>
    </w:p>
    <w:p>
      <w:r>
        <w:t>| **P4（形式合规）** | **启动文本合规审查**：在完成P1–P3后，提供完整合同DOCX文件，执行OCR识别、附件一致性比对、称谓清理、法律条文有效性核验、签署栏防伪审查 | 避免因格式瑕疵导致条款效力争议、举证困难、甚至被认定为“阴阳合同” | **P3完成后24小时内** | 法务部（技术审查岗） |</w:t>
      </w:r>
    </w:p>
    <w:p>
      <w:r>
        <w:t>&gt; ✅ **附：紧急支持承诺**</w:t>
      </w:r>
    </w:p>
    <w:p>
      <w:r>
        <w:t>&gt; 我可立即为您：</w:t>
      </w:r>
    </w:p>
    <w:p>
      <w:r>
        <w:t>&gt; - 自动生成符合上述全部要求的**完整合同正文（16条+3附件框架）Word可编辑模板**；</w:t>
      </w:r>
    </w:p>
    <w:p>
      <w:r>
        <w:t>&gt; - 输出《合同签署前合规性核对清单（Checklist）》，含23项勾选栏与法条索引；</w:t>
      </w:r>
    </w:p>
    <w:p>
      <w:r>
        <w:t>&gt; - 提供《主体资质承诺函》《知识产权权属无瑕疵承诺函》《签署完成确认函》三份配套法律文件范本。</w:t>
      </w:r>
    </w:p>
    <w:p>
      <w:r>
        <w:t>&gt; **请回复“生成模板”或提供合同文本，我将在5分钟内交付。**</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