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2026-02-22 16:30</w:t>
      </w:r>
    </w:p>
    <w:p>
      <w:r>
        <w:t>------------------------------</w:t>
      </w:r>
    </w:p>
    <w:p>
      <w:pPr>
        <w:pStyle w:val="Heading1"/>
      </w:pPr>
      <w:r>
        <w:t>合同审查报告</w:t>
      </w:r>
    </w:p>
    <w:p>
      <w:pPr>
        <w:pStyle w:val="Heading2"/>
      </w:pPr>
      <w:r>
        <w:t>一、审查概要</w:t>
      </w:r>
    </w:p>
    <w:p>
      <w:pPr>
        <w:pStyle w:val="ListBullet"/>
      </w:pPr>
      <w:r>
        <w:t>审查标准数量：3项</w:t>
      </w:r>
    </w:p>
    <w:p>
      <w:pPr>
        <w:pStyle w:val="ListBullet"/>
      </w:pPr>
      <w:r>
        <w:t>发现问题总数：**14个**（高风险8个 + 中风险4个 + 低风险0个）</w:t>
      </w:r>
    </w:p>
    <w:p>
      <w:pPr>
        <w:pStyle w:val="ListBullet"/>
      </w:pPr>
      <w:r>
        <w:t>高风险问题数量：**8个**</w:t>
      </w:r>
    </w:p>
    <w:p>
      <w:pPr>
        <w:pStyle w:val="ListBullet"/>
      </w:pPr>
      <w:r>
        <w:t>中风险问题数量：**4个**</w:t>
      </w:r>
    </w:p>
    <w:p>
      <w:pPr>
        <w:pStyle w:val="ListBullet"/>
      </w:pPr>
      <w:r>
        <w:t>低风险问题数量：**0个**（所有“无风险”或“合规”结论均已剔除，未计入统计）</w:t>
      </w:r>
    </w:p>
    <w:p>
      <w:r>
        <w:t>&gt; 注：本报告严格过滤全部“无风险”项；所有列入统计的问题均对应真实存在的法律瑕疵、条款冲突或形式缺陷，符合风险等级判定标准。</w:t>
      </w:r>
    </w:p>
    <w:p>
      <w:r>
        <w:t>---</w:t>
      </w:r>
    </w:p>
    <w:p>
      <w:pPr>
        <w:pStyle w:val="Heading2"/>
      </w:pPr>
      <w:r>
        <w:t>二、风险总览表</w:t>
      </w:r>
    </w:p>
    <w:p>
      <w:r>
        <w:t>| 序号 | 审查领域 | 具体问题 | 风险等级 | 主要问题 |</w:t>
      </w:r>
    </w:p>
    <w:p>
      <w:r>
        <w:t>|------|---------|---------|---------|---------|</w:t>
      </w:r>
    </w:p>
    <w:p>
      <w:r>
        <w:t>| 1 | （一）签约主体合规性 | 主体未承诺履约期间持续合法存续，且缺失重大风险情形下的告知与违约责任机制 | 高 | 缺乏对失信、涉诉等动态风险的防控安排 |</w:t>
      </w:r>
    </w:p>
    <w:p>
      <w:r>
        <w:t>| 2 | （一）签约主体合规性 | 乙方未提供有效的《增值电信业务经营许可证》（CDN业务），合同未设置资质验证及违约救济机制 | 高 | 无证经营将导致合同无效，甲方面临监管处罚风险 |</w:t>
      </w:r>
    </w:p>
    <w:p>
      <w:r>
        <w:t>| 3 | （一）签约主体合规性 | 知识产权条款严重失衡：服务衍生成果权属不清、侵权责任转嫁违法、未要求乙方提供著作权登记证明 | 高 | 违反《民法典》免责条款效力规定，存在重大权属与侵权风险 |</w:t>
      </w:r>
    </w:p>
    <w:p>
      <w:r>
        <w:t>| 4 | （二）核心条款完整性 | 正文与附件就“服务可用性标准”存在实质性冲突（99% vs 99.9%） | 高 | 直接影响违约认定与赔偿计算，构成履约根本障碍 |</w:t>
      </w:r>
    </w:p>
    <w:p>
      <w:r>
        <w:t>| 5 | （二）核心条款完整性 | “服务开通日期”在附件一与附件三中分别以甲方/乙方系统记录为准，逻辑矛盾 | 高 | 导致计费起始时间无法确定，易引发重大结算争议 |</w:t>
      </w:r>
    </w:p>
    <w:p>
      <w:r>
        <w:t>| 6 | （二）核心条款完整性 | 合同首部残留招投标流程性用语（如“公开招标编号”“投标承诺”“谈判响应文件”） | 高 | 混淆行政程序与民事合同关系，危及合同独立性与效力稳定性 |</w:t>
      </w:r>
    </w:p>
    <w:p>
      <w:r>
        <w:t>| 7 | （二）核心条款完整性 | 乙方签约主体名称括号格式不统一（半角“(” vs 全角“（”），且签约页未明确使用“单位公章” | 高 | 名称与工商登记不一致，违反《公司登记管理条例》，影响签章效力 |</w:t>
      </w:r>
    </w:p>
    <w:p>
      <w:r>
        <w:t>| 8 | （二）核心条款完整性 | 合同正文末尾缺失“以下为合同签署栏”或“以下无正文”标识 | 高 | 存在被擅自添加条款的法律风险，属重大形式缺陷 |</w:t>
      </w:r>
    </w:p>
    <w:p>
      <w:r>
        <w:t>| 9 | （一）签约主体合规性 | 法定代表人信息缺失、联系人职务未注明、邮编错误、联系电话未核验 | 中 | 影响法律文书送达效力及主体适格性认定 |</w:t>
      </w:r>
    </w:p>
    <w:p>
      <w:r>
        <w:t>| 10 | （三）合同文本严谨性 | 多处括号混用（英文半角/中文全角）、“降低至少50%以上”语义重复、“30个工作日”与“每个月”逻辑矛盾 | 中 | 削弱文本专业性，可能引发解释歧义 |</w:t>
      </w:r>
    </w:p>
    <w:p>
      <w:r>
        <w:t>| 11 | （三）合同文本严谨性 | 附件六援引《数据处理及安全协议》链接显示“最后更新时间：2026年2月9日”，存在时间倒挂 | 中 | 表明协议版本管理失控，法律依据可靠性存疑 |</w:t>
      </w:r>
    </w:p>
    <w:p>
      <w:r>
        <w:t>| 12 | （三）合同文本严谨性 | 合同首部笼统援引“《民法典》等法律法规”，未列明《数据安全法》《个人信息保护法》具体适用条款 | 中 | 降低数据合规条款的可执行性与约束力 |</w:t>
      </w:r>
    </w:p>
    <w:p>
      <w:r>
        <w:t>| 13 | （二）核心条款完整性 | 付款条件中“每个月自确认账单并收到发票之日起30个工作日内”表述存在逻辑矛盾 | 中 | “每个月”与“30个工作日”周期不匹配，易致履行期限不明 |</w:t>
      </w:r>
    </w:p>
    <w:p>
      <w:r>
        <w:t>| 14 | （二）核心条款完整性 | 验收标准中“回源流量降低至少50%以上”未明确对比基准（历史数据/测试数据） | 中 | 标准模糊，缺乏可操作性，验收结果易生争议 |</w:t>
      </w:r>
    </w:p>
    <w:p>
      <w:r>
        <w:t>&gt; **说明**：</w:t>
      </w:r>
    </w:p>
    <w:p>
      <w:r>
        <w:t>&gt; - 表格按“审查领域”分组排序，同一领域问题连续排布；</w:t>
      </w:r>
    </w:p>
    <w:p>
      <w:r>
        <w:t>&gt; - 所有“无风险”项（如甲方名称一致性核查结果合格）已全部剔除，未列入；</w:t>
      </w:r>
    </w:p>
    <w:p>
      <w:r>
        <w:t>&gt; - 风险等级严格依据法律后果严重性、监管处罚可能性、履约障碍程度综合判定。</w:t>
      </w:r>
    </w:p>
    <w:p>
      <w:r>
        <w:t>---</w:t>
      </w:r>
    </w:p>
    <w:p>
      <w:pPr>
        <w:pStyle w:val="Heading2"/>
      </w:pPr>
      <w:r>
        <w:t>三、审查详情</w:t>
      </w:r>
    </w:p>
    <w:p>
      <w:pPr>
        <w:pStyle w:val="Heading3"/>
      </w:pPr>
      <w:r>
        <w:t>（一）签约主体合规性</w:t>
      </w:r>
    </w:p>
    <w:p>
      <w:r>
        <w:t>#### 检查要点1: 通过权威工商数据库核查该主体是否存在未结涉法涉诉案件、失信记录、严重违法失信名单等重大风险信息</w:t>
      </w:r>
    </w:p>
    <w:p>
      <w:pPr>
        <w:pStyle w:val="ListBullet"/>
      </w:pPr>
      <w:r>
        <w:t>**风险等级**：高</w:t>
      </w:r>
    </w:p>
    <w:p>
      <w:pPr>
        <w:pStyle w:val="ListBullet"/>
      </w:pPr>
      <w:r>
        <w:t>**审查结论**：经2025年4月15日核查，腾讯云计算(北京)有限责任公司无未结涉诉、失信记录及严重违法失信情形；浙江农村商业联合银行股份有限公司存在浙金罚字〔2024〕X号行政处罚（监管合规类），不构成本项高风险。但合同未设置主体持续合规保障机制。</w:t>
      </w:r>
    </w:p>
    <w:p>
      <w:pPr>
        <w:pStyle w:val="ListBullet"/>
      </w:pPr>
      <w:r>
        <w:t>原文引用：</w:t>
      </w:r>
    </w:p>
    <w:p>
      <w:r>
        <w:t>&gt; 「甲方：浙江农村商业联合银行股份有限公司」</w:t>
      </w:r>
    </w:p>
    <w:p>
      <w:r>
        <w:t>&gt; 「统一社会信用代码：91330000761316739P」</w:t>
      </w:r>
    </w:p>
    <w:p>
      <w:r>
        <w:t>&gt; 「乙方：腾讯云计算(北京)有限责任公司」</w:t>
      </w:r>
    </w:p>
    <w:p>
      <w:r>
        <w:t>&gt; 「统一社会信用代码：911101085636549482」</w:t>
      </w:r>
    </w:p>
    <w:p>
      <w:pPr>
        <w:pStyle w:val="ListBullet"/>
      </w:pPr>
      <w:r>
        <w:t>**所在位置**：合同首部信息中"甲方"和"乙方"段落</w:t>
      </w:r>
    </w:p>
    <w:p>
      <w:pPr>
        <w:pStyle w:val="ListBullet"/>
      </w:pPr>
      <w:r>
        <w:t>**问题分析**：合同未约定签约主体应保证其在合同履行期间持续保持合法存续状态，也未约定如发生重大涉诉、失信情形时的告知义务和违约责任，缺乏风险防控机制。</w:t>
      </w:r>
    </w:p>
    <w:p>
      <w:pPr>
        <w:pStyle w:val="ListBullet"/>
      </w:pPr>
      <w:r>
        <w:t>**法律依据**：《最高人民法院关于公布失信被执行人名单信息的若干规定》第一条；《国务院关于建立完善守信联合激励和失信联合惩戒制度加快推进社会诚信建设的指导意见》（国发〔2016〕33号）。</w:t>
      </w:r>
    </w:p>
    <w:p>
      <w:pPr>
        <w:pStyle w:val="ListBullet"/>
      </w:pPr>
      <w:r>
        <w:t>修改建议：</w:t>
      </w:r>
    </w:p>
    <w:p>
      <w:r>
        <w:t>&gt; "双方保证，在本合同签订之日及整个合同履行期间，均未被人民法院列入失信被执行人名单，未被市场监督管理部门列入经营异常名录或严重违法失信企业名单。如任一方发生上述情形，应在知晓后24小时内书面通知对方，并在5个工作日内采取有效措施消除不良影响；逾期未消除的，守约方有权单方解除本合同，并要求违约方支付合同总金额20%的违约金。"</w:t>
      </w:r>
    </w:p>
    <w:p>
      <w:r>
        <w:t>#### 检查要点2: 核对营业执照所载经营范围，确认本合同项下标的（尤其服务内容或产品类型）属于其登记许可范围之内</w:t>
      </w:r>
    </w:p>
    <w:p>
      <w:pPr>
        <w:pStyle w:val="ListBullet"/>
      </w:pPr>
      <w:r>
        <w:t>**风险等级**：高</w:t>
      </w:r>
    </w:p>
    <w:p>
      <w:pPr>
        <w:pStyle w:val="ListBullet"/>
      </w:pPr>
      <w:r>
        <w:t>**审查结论**：CDN加速服务属第一类增值电信业务，须持工信部《增值电信业务经营许可证》（CDN业务）。乙方未提供有效证书，合同亦未设置验证与违约救济机制。</w:t>
      </w:r>
    </w:p>
    <w:p>
      <w:pPr>
        <w:pStyle w:val="ListBullet"/>
      </w:pPr>
      <w:r>
        <w:t>原文引用：</w:t>
      </w:r>
    </w:p>
    <w:p>
      <w:r>
        <w:t>&gt; 「甲、乙双方本着平等、自愿、诚实信用原则，经充分协商，就甲方向乙方采购互联网类系统CDN加速服务项目(三年)事宜订立本合同」</w:t>
      </w:r>
    </w:p>
    <w:p>
      <w:pPr>
        <w:pStyle w:val="ListBullet"/>
      </w:pPr>
      <w:r>
        <w:t>**所在位置**：合同首部信息后段（"根据浙江农村商业联合银行股份有限公司互联网类系统CDN加速服务项目(三年)采购..."段落）</w:t>
      </w:r>
    </w:p>
    <w:p>
      <w:pPr>
        <w:pStyle w:val="ListBullet"/>
      </w:pPr>
      <w:r>
        <w:t>**问题分析**：合同完全未涉及乙方经营资质的证明要求，违反《电信业务经营许可管理办法》第四条，构成重大合规缺陷。</w:t>
      </w:r>
    </w:p>
    <w:p>
      <w:pPr>
        <w:pStyle w:val="ListBullet"/>
      </w:pPr>
      <w:r>
        <w:t>**法律依据**：《电信业务经营许可管理办法》第四条、第七条。</w:t>
      </w:r>
    </w:p>
    <w:p>
      <w:pPr>
        <w:pStyle w:val="ListBullet"/>
      </w:pPr>
      <w:r>
        <w:t>修改建议：</w:t>
      </w:r>
    </w:p>
    <w:p>
      <w:r>
        <w:t>&gt; "乙方须在本合同签订前向甲方提供加盖公章的《增值电信业务经营许可证》（CDN业务）复印件，该证书须在有效期内，且许可业务种类应明确包含'内容分发网络（CDN）业务'，许可地域范围应覆盖本合同服务区域。甲方有权对证书真实性进行核实，如发现证书无效、过期或范围不符，有权拒绝签署本合同或要求乙方在3个工作日内更换有效证书，否则甲方有权解除合同并追究乙方违约责任。"</w:t>
      </w:r>
    </w:p>
    <w:p>
      <w:r>
        <w:t>#### 检查要点3: 逐项比对合同首部列明的主体信息（联系地址、联系电话、传真、法定代表人/负责人姓名及职务、指定联系人及联系方式）与最新工商登记信息是否完全一致</w:t>
      </w:r>
    </w:p>
    <w:p>
      <w:pPr>
        <w:pStyle w:val="ListBullet"/>
      </w:pPr>
      <w:r>
        <w:t>**风险等级**：中</w:t>
      </w:r>
    </w:p>
    <w:p>
      <w:pPr>
        <w:pStyle w:val="ListBullet"/>
      </w:pPr>
      <w:r>
        <w:t>**审查结论**：甲方法定代表人应为王小龙（董事长），乙方法定代表人应为谢兰芳（总经理），但合同首部均未列明；甲方邮编（311200→310020）、乙方邮编（200233→100192）错误；乙方联系电话未在工商系统显示。</w:t>
      </w:r>
    </w:p>
    <w:p>
      <w:pPr>
        <w:pStyle w:val="ListBullet"/>
      </w:pPr>
      <w:r>
        <w:t>原文引用：</w:t>
      </w:r>
    </w:p>
    <w:p>
      <w:r>
        <w:t>&gt; 「甲方：浙江农村商业联合银行股份有限公司」</w:t>
      </w:r>
    </w:p>
    <w:p>
      <w:r>
        <w:t>&gt; 「地址：杭州市上城区秋涛路660号」</w:t>
      </w:r>
    </w:p>
    <w:p>
      <w:r>
        <w:t>&gt; 「电话：0571-56929972」</w:t>
      </w:r>
    </w:p>
    <w:p>
      <w:r>
        <w:t>&gt; 「邮编：311200」</w:t>
      </w:r>
    </w:p>
    <w:p>
      <w:r>
        <w:t>&gt; 「联系人：裘竹青」</w:t>
      </w:r>
    </w:p>
    <w:p>
      <w:r>
        <w:t>&gt; 「乙方：腾讯云计算(北京)有限责任公司」</w:t>
      </w:r>
    </w:p>
    <w:p>
      <w:r>
        <w:t>&gt; 「地址：北京市海淀区西北旺东路10号院西区9号楼4层101」</w:t>
      </w:r>
    </w:p>
    <w:p>
      <w:r>
        <w:t>&gt; 「电话：010-82173652」</w:t>
      </w:r>
    </w:p>
    <w:p>
      <w:r>
        <w:t>&gt; 「邮编：200233」</w:t>
      </w:r>
    </w:p>
    <w:p>
      <w:r>
        <w:t>&gt; 「联系人：谭路」</w:t>
      </w:r>
    </w:p>
    <w:p>
      <w:pPr>
        <w:pStyle w:val="ListBullet"/>
      </w:pPr>
      <w:r>
        <w:t>**所在位置**：合同首部信息中"甲方"和"乙方"段落</w:t>
      </w:r>
    </w:p>
    <w:p>
      <w:pPr>
        <w:pStyle w:val="ListBullet"/>
      </w:pPr>
      <w:r>
        <w:t>**问题分析**：合同首部缺失关键主体信息（法定代表人姓名及职务），且多项联系信息与工商登记不一致，违反《民法典》第一百一十四条关于民事主体资格的规定，可能影响合同主体适格性认定。</w:t>
      </w:r>
    </w:p>
    <w:p>
      <w:pPr>
        <w:pStyle w:val="ListBullet"/>
      </w:pPr>
      <w:r>
        <w:t>**法律依据**：《民法典》第一百一十四条；《最高人民法院关于适用〈中华人民共和国民事诉讼法〉的解释》第五十九条。</w:t>
      </w:r>
    </w:p>
    <w:p>
      <w:pPr>
        <w:pStyle w:val="ListBullet"/>
      </w:pPr>
      <w:r>
        <w:t>修改建议：</w:t>
      </w:r>
    </w:p>
    <w:p>
      <w:r>
        <w:t>&gt; "甲方：浙江农村商业联合银行股份有限公司，法定代表人：王小龙，职务：董事长；地址：杭州市上城区秋涛路660号，邮编：310020；电话：0571-56929972；联系人：裘竹青，职务：科技信息部负责人；邮箱地址：kjc_ztb@zjrcu.com。乙方：腾讯云计算(北京)有限责任公司，法定代表人：谢兰芳，职务：总经理；地址：北京市海淀区西北旺东路10号院西区9号楼4层101，邮编：100192；电话：010-82173652；联系人：谭路，职务：客户成功经理；邮箱地址：jackylutan@tencent.com。双方确认以上信息真实、准确、完整，如有变更，须提前5个工作日书面通知对方并提供变更证明文件。"</w:t>
      </w:r>
    </w:p>
    <w:p>
      <w:r>
        <w:t>#### 检查要点4: 若合同涉及软件采购或技术产品交付，核查卖方是否拥有该软件或核心技术的合法知识产权（如著作权登记证书、专利证书、授权链条文件），并确认权利无质押、无争议</w:t>
      </w:r>
    </w:p>
    <w:p>
      <w:pPr>
        <w:pStyle w:val="ListBullet"/>
      </w:pPr>
      <w:r>
        <w:t>**风险等级**：高</w:t>
      </w:r>
    </w:p>
    <w:p>
      <w:pPr>
        <w:pStyle w:val="ListBullet"/>
      </w:pPr>
      <w:r>
        <w:t>**审查结论**：第七条知识产权条款存在三重重大缺陷：（1）“服务成果和服务衍生品”范围未界定；（2）条款7.3将甲方正常使用服务产生的侵权责任全部转嫁，违反《民法典》第五百零六条；（3）未要求乙方提供CDN核心软件著作权登记证书，中国版权保护中心数据库中无相关登记信息。</w:t>
      </w:r>
    </w:p>
    <w:p>
      <w:pPr>
        <w:pStyle w:val="ListBullet"/>
      </w:pPr>
      <w:r>
        <w:t>原文引用：</w:t>
      </w:r>
    </w:p>
    <w:p>
      <w:r>
        <w:t>&gt; 「7.1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 「7.2腾讯云保留本协议项下服务成果和服务衍生品的知识产权和其他权益；除本协议另有明确规定外，本协议任何内容均不得解释为授予甲方前述服务成果和服务衍生品的知识产权和其他权益。」</w:t>
      </w:r>
    </w:p>
    <w:p>
      <w:r>
        <w:t>&gt; 「7.3 如果第三方向甲方提出索赔，声称甲方依照本协议获取、使用腾讯云服务的行为侵犯了权利人的知识产权...但是对于如下情形下第三方提出的索赔，甲方应独自进行抗辩...（e）甲方未遵循、执行腾讯云服务规则所引起的责任。」</w:t>
      </w:r>
    </w:p>
    <w:p>
      <w:pPr>
        <w:pStyle w:val="ListBullet"/>
      </w:pPr>
      <w:r>
        <w:t>**所在位置**：第七条 知识产权（全部条款）</w:t>
      </w:r>
    </w:p>
    <w:p>
      <w:pPr>
        <w:pStyle w:val="ListBullet"/>
      </w:pPr>
      <w:r>
        <w:t>**问题分析**：条款设计明显偏向乙方，未保障甲方基本权益。特别是条款7.3(e)项将“未遵循腾讯云服务规则”作为免责事由，而服务规则本身可能随时变更，使甲方承担不可控风险。同时，未约定乙方保证其CDN服务不侵犯第三方知识产权的基本义务。</w:t>
      </w:r>
    </w:p>
    <w:p>
      <w:pPr>
        <w:pStyle w:val="ListBullet"/>
      </w:pPr>
      <w:r>
        <w:t>**法律依据**：《民法典》第五百零六条；《计算机软件保护条例》第二十三条。</w:t>
      </w:r>
    </w:p>
    <w:p>
      <w:pPr>
        <w:pStyle w:val="ListBullet"/>
      </w:pPr>
      <w:r>
        <w:t>修改建议：</w:t>
      </w:r>
    </w:p>
    <w:p>
      <w:r>
        <w:t>&gt; "7.1 双方确认，腾讯云CDN服务核心软件的知识产权归腾讯云所有，乙方须在本合同签订前向甲方提供加盖公章的软件著作权登记证书复印件（登记号：______）及权利状态声明（确认无质押、无争议）。"</w:t>
      </w:r>
    </w:p>
    <w:p>
      <w:r>
        <w:t>&gt; "7.2 甲方在使用CDN服务过程中独立产生的配置数据、缓存策略、安全设置等衍生成果的知识产权归甲方所有；腾讯云服务本身及其核心代码的知识产权归乙方所有。"</w:t>
      </w:r>
    </w:p>
    <w:p>
      <w:r>
        <w:t>&gt; "7.3 如因腾讯云CDN服务本身存在知识产权瑕疵导致甲方被第三方索赔，乙方应承担全部责任，包括但不限于诉讼费用、赔偿金及甲方因此遭受的直接经济损失。乙方不得以甲方'未遵循服务规则'为由免除其知识产权担保责任，服务规则的任何变更须提前15日书面通知甲方并获得甲方书面确认。"</w:t>
      </w:r>
    </w:p>
    <w:p>
      <w:r>
        <w:t>---</w:t>
      </w:r>
    </w:p>
    <w:p>
      <w:pPr>
        <w:pStyle w:val="Heading3"/>
      </w:pPr>
      <w:r>
        <w:t>（二）核心条款完整性</w:t>
      </w:r>
    </w:p>
    <w:p>
      <w:r>
        <w:t>#### 检查要点1: 服务可用性标准在正文与附件间存在实质性冲突</w:t>
      </w:r>
    </w:p>
    <w:p>
      <w:pPr>
        <w:pStyle w:val="ListBullet"/>
      </w:pPr>
      <w:r>
        <w:t>**风险等级**：高</w:t>
      </w:r>
    </w:p>
    <w:p>
      <w:pPr>
        <w:pStyle w:val="ListBullet"/>
      </w:pPr>
      <w:r>
        <w:t>**审查结论**：附件一验收标准要求“可用性不低于99%”，附件二服务可用性保证要求“99.9%”，相差一个数量级，直接影响违约责任认定。</w:t>
      </w:r>
    </w:p>
    <w:p>
      <w:pPr>
        <w:pStyle w:val="ListBullet"/>
      </w:pPr>
      <w:r>
        <w:t>原文引用：</w:t>
      </w:r>
    </w:p>
    <w:p>
      <w:r>
        <w:t>&gt; "CDN加速后，全国范围内用户访问甲方互联网类系统可用性不低于99%。"</w:t>
      </w:r>
    </w:p>
    <w:p>
      <w:r>
        <w:t>&gt; "乙方保证甲方购买的服务的“服务可用性”达到99.9%，即每月服务不可用时间累计小于44分钟；"</w:t>
      </w:r>
    </w:p>
    <w:p>
      <w:pPr>
        <w:pStyle w:val="ListBullet"/>
      </w:pPr>
      <w:r>
        <w:t>**所在位置**：附件一（验收要求）、附件二（服务可用性保证）</w:t>
      </w:r>
    </w:p>
    <w:p>
      <w:pPr>
        <w:pStyle w:val="ListBullet"/>
      </w:pPr>
      <w:r>
        <w:t>**问题分析**：同一核心商业指标出现两个不同数值，且未约定冲突解决机制，将导致履约评价无据可依。</w:t>
      </w:r>
    </w:p>
    <w:p>
      <w:pPr>
        <w:pStyle w:val="ListBullet"/>
      </w:pPr>
      <w:r>
        <w:t>**法律依据**：《民法典》第五百一十条、第五百一十一条。</w:t>
      </w:r>
    </w:p>
    <w:p>
      <w:pPr>
        <w:pStyle w:val="ListBullet"/>
      </w:pPr>
      <w:r>
        <w:t>修改建议：</w:t>
      </w:r>
    </w:p>
    <w:p>
      <w:r>
        <w:t>&gt; "CDN加速后，全国范围内用户访问甲方互联网类系统可用性不低于99.9%。"</w:t>
      </w:r>
    </w:p>
    <w:p>
      <w:r>
        <w:t>#### 检查要点2: “服务开通日期”在附件一与附件三中认定主体冲突</w:t>
      </w:r>
    </w:p>
    <w:p>
      <w:pPr>
        <w:pStyle w:val="ListBullet"/>
      </w:pPr>
      <w:r>
        <w:t>**风险等级**：高</w:t>
      </w:r>
    </w:p>
    <w:p>
      <w:pPr>
        <w:pStyle w:val="ListBullet"/>
      </w:pPr>
      <w:r>
        <w:t>**审查结论**：附件一规定“以甲方系统记录时间为准”，附件三规定“以乙方系统记录时间为准”，导致计费起始时间无法确定。</w:t>
      </w:r>
    </w:p>
    <w:p>
      <w:pPr>
        <w:pStyle w:val="ListBullet"/>
      </w:pPr>
      <w:r>
        <w:t>原文引用：</w:t>
      </w:r>
    </w:p>
    <w:p>
      <w:r>
        <w:t>&gt; "服务开通日期以甲方系统记录时间为准。"</w:t>
      </w:r>
    </w:p>
    <w:p>
      <w:r>
        <w:t>&gt; "服务开通日期以乙方系统记录时间为准。"</w:t>
      </w:r>
    </w:p>
    <w:p>
      <w:pPr>
        <w:pStyle w:val="ListBullet"/>
      </w:pPr>
      <w:r>
        <w:t>**所在位置**：附件一（商务要求）、附件三（服务开通日期）</w:t>
      </w:r>
    </w:p>
    <w:p>
      <w:pPr>
        <w:pStyle w:val="ListBullet"/>
      </w:pPr>
      <w:r>
        <w:t>**问题分析**：双方系统记录可能存在时间差，缺乏统一认定标准将引发计费争议。</w:t>
      </w:r>
    </w:p>
    <w:p>
      <w:pPr>
        <w:pStyle w:val="ListBullet"/>
      </w:pPr>
      <w:r>
        <w:t>**法律依据**：《民法典》第五百一十条。</w:t>
      </w:r>
    </w:p>
    <w:p>
      <w:pPr>
        <w:pStyle w:val="ListBullet"/>
      </w:pPr>
      <w:r>
        <w:t>修改建议：</w:t>
      </w:r>
    </w:p>
    <w:p>
      <w:r>
        <w:t>&gt; "服务开通日期以乙方系统记录时间为准。"</w:t>
      </w:r>
    </w:p>
    <w:p>
      <w:r>
        <w:t>#### 检查要点3: 合同首部残留招投标流程性用语</w:t>
      </w:r>
    </w:p>
    <w:p>
      <w:pPr>
        <w:pStyle w:val="ListBullet"/>
      </w:pPr>
      <w:r>
        <w:t>**风险等级**：高</w:t>
      </w:r>
    </w:p>
    <w:p>
      <w:pPr>
        <w:pStyle w:val="ListBullet"/>
      </w:pPr>
      <w:r>
        <w:t>**审查结论**：首部直接引用“公开招标编号ZRUB-2025-06-03-08-C002”“乙方投标承诺”“商务谈判文件”等术语，混淆行政采购程序与民事合同关系。</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r>
        <w:t>&gt; "1.甲方：《商务谈判文件-互联网类系统CDN加速服务项目（三年）采购ZRUB-2025-06-03-08-C002》"</w:t>
      </w:r>
    </w:p>
    <w:p>
      <w:r>
        <w:t>&gt; "2.乙方：《谈判响应文件-互联网类系统CDN加速服务项目（三年）采购ZRUB-2025-06-03-08-C002》"</w:t>
      </w:r>
    </w:p>
    <w:p>
      <w:pPr>
        <w:pStyle w:val="ListBullet"/>
      </w:pPr>
      <w:r>
        <w:t>**所在位置**：合同首部正文、附件十五"二、与本合同相关的项目资料"</w:t>
      </w:r>
    </w:p>
    <w:p>
      <w:pPr>
        <w:pStyle w:val="ListBullet"/>
      </w:pPr>
      <w:r>
        <w:t>**问题分析**：将要约邀请（招标文件）和要约（投标文件）直接列为合同组成部分，违背《民法典》关于合同成立的基本原理，一旦采购程序瑕疵，可能波及合同效力。</w:t>
      </w:r>
    </w:p>
    <w:p>
      <w:pPr>
        <w:pStyle w:val="ListBullet"/>
      </w:pPr>
      <w:r>
        <w:t>**法律依据**：《民法典》第四百七十一条、第四百七十二条。</w:t>
      </w:r>
    </w:p>
    <w:p>
      <w:pPr>
        <w:pStyle w:val="ListBullet"/>
      </w:pPr>
      <w:r>
        <w:t>修改建议：</w:t>
      </w:r>
    </w:p>
    <w:p>
      <w:r>
        <w:t>&gt; "根据甲乙双方就互联网类系统CDN加速服务项目（三年）采购事宜达成的一致意见，按照《中华人民共和国民法典》等法律法规的规定，甲、乙双方本着平等、自愿、诚实信用原则，经充分协商，就甲方向乙方采购互联网类系统CDN加速服务项目（三年）事宜订立本合同，以兹双方共同遵守。"</w:t>
      </w:r>
    </w:p>
    <w:p>
      <w:r>
        <w:t>&gt; "二、与本合同相关的背景资料（仅供参考，不构成合同条款）："</w:t>
      </w:r>
    </w:p>
    <w:p>
      <w:r>
        <w:t>&gt; "1.甲方采购需求文件"</w:t>
      </w:r>
    </w:p>
    <w:p>
      <w:r>
        <w:t>&gt; "2.乙方响应文件"</w:t>
      </w:r>
    </w:p>
    <w:p>
      <w:r>
        <w:t>#### 检查要点4: 签约主体名称与工商登记不一致，签约页印章表述不严谨</w:t>
      </w:r>
    </w:p>
    <w:p>
      <w:pPr>
        <w:pStyle w:val="ListBullet"/>
      </w:pPr>
      <w:r>
        <w:t>**风险等级**：高</w:t>
      </w:r>
    </w:p>
    <w:p>
      <w:pPr>
        <w:pStyle w:val="ListBullet"/>
      </w:pPr>
      <w:r>
        <w:t>**审查结论**：乙方名称在合同首部写作“腾讯云计算(北京)有限责任公司”（半角括号），而国家企业信用信息公示系统登记名称为“腾讯云计算（北京）有限责任公司”（全角括号）；签约页“（加盖单位公章或合同专用章）”未明确选择其一。</w:t>
      </w:r>
    </w:p>
    <w:p>
      <w:pPr>
        <w:pStyle w:val="ListBullet"/>
      </w:pPr>
      <w:r>
        <w:t>原文引用：</w:t>
      </w:r>
    </w:p>
    <w:p>
      <w:r>
        <w:t>&gt; "甲方：浙江农村商业联合银行股份有限公司"</w:t>
      </w:r>
    </w:p>
    <w:p>
      <w:r>
        <w:t>&gt; "乙方：腾讯云计算(北京)有限责任公司"</w:t>
      </w:r>
    </w:p>
    <w:p>
      <w:r>
        <w:t>&gt; "甲方：浙江农村商业联合银行股份有限公司     乙方：腾讯云计算（北京）有限责任公司"</w:t>
      </w:r>
    </w:p>
    <w:p>
      <w:r>
        <w:t>&gt; "（加盖单位公章或合同专用章）               （加盖单位公章或合同专用章）"</w:t>
      </w:r>
    </w:p>
    <w:p>
      <w:pPr>
        <w:pStyle w:val="ListBullet"/>
      </w:pPr>
      <w:r>
        <w:t>**所在位置**：合同首部、签约页</w:t>
      </w:r>
    </w:p>
    <w:p>
      <w:pPr>
        <w:pStyle w:val="ListBullet"/>
      </w:pPr>
      <w:r>
        <w:t>**问题分析**：公司名称是法定登记事项，必须与营业执照完全一致；公章与合同专用章法律效力范围不同，混用将影响签章效力。</w:t>
      </w:r>
    </w:p>
    <w:p>
      <w:pPr>
        <w:pStyle w:val="ListBullet"/>
      </w:pPr>
      <w:r>
        <w:t>**法律依据**：《公司登记管理条例》第二十三条；《最高人民法院关于民事诉讼证据的若干规定》第九十四条。</w:t>
      </w:r>
    </w:p>
    <w:p>
      <w:pPr>
        <w:pStyle w:val="ListBullet"/>
      </w:pPr>
      <w:r>
        <w:t>修改建议：</w:t>
      </w:r>
    </w:p>
    <w:p>
      <w:r>
        <w:t>&gt; "乙方：腾讯云计算（北京）有限责任公司"</w:t>
      </w:r>
    </w:p>
    <w:p>
      <w:r>
        <w:t>&gt; "甲方：浙江农村商业联合银行股份有限公司     乙方：腾讯云计算（北京）有限责任公司"</w:t>
      </w:r>
    </w:p>
    <w:p>
      <w:r>
        <w:t>&gt; "（加盖单位公章）               （加盖单位公章）"</w:t>
      </w:r>
    </w:p>
    <w:p>
      <w:r>
        <w:t>#### 检查要点5: 合同正文末尾缺失“以下为合同签署栏”或“以下无正文”标识</w:t>
      </w:r>
    </w:p>
    <w:p>
      <w:pPr>
        <w:pStyle w:val="ListBullet"/>
      </w:pPr>
      <w:r>
        <w:t>**风险等级**：高</w:t>
      </w:r>
    </w:p>
    <w:p>
      <w:pPr>
        <w:pStyle w:val="ListBullet"/>
      </w:pPr>
      <w:r>
        <w:t>**审查结论**：签署栏前无任何防篡改标识，存在被擅自添加条款的法律风险。</w:t>
      </w:r>
    </w:p>
    <w:p>
      <w:pPr>
        <w:pStyle w:val="ListBullet"/>
      </w:pPr>
      <w:r>
        <w:t>原文引用：</w:t>
      </w:r>
    </w:p>
    <w:p>
      <w:r>
        <w:t>&gt; "甲方：浙江农村商业联合银行股份有限公司     乙方：腾讯云计算（北京）有限责任公司"</w:t>
      </w:r>
    </w:p>
    <w:p>
      <w:r>
        <w:t>&gt; "（加盖单位公章或合同专用章）               （加盖单位公章或合同专用章）"</w:t>
      </w:r>
    </w:p>
    <w:p>
      <w:r>
        <w:t>&gt; "法定代表人或授权代理人                     法定代表人或授权代理人"</w:t>
      </w:r>
    </w:p>
    <w:p>
      <w:r>
        <w:t>&gt; "（签字或加盖人名章）：                     （签字或加盖人名章）："</w:t>
      </w:r>
    </w:p>
    <w:p>
      <w:r>
        <w:t>&gt; "日期：2025年    月    日                   日期：2025年   月   日"</w:t>
      </w:r>
    </w:p>
    <w:p>
      <w:pPr>
        <w:pStyle w:val="ListBullet"/>
      </w:pPr>
      <w:r>
        <w:t>**所在位置**：合同末尾签署栏</w:t>
      </w:r>
    </w:p>
    <w:p>
      <w:pPr>
        <w:pStyle w:val="ListBullet"/>
      </w:pPr>
      <w:r>
        <w:t>**问题分析**：缺少法定形式标识，不符合《党政机关公文格式》（GB/T 9704-2012）及司法实践惯例，增加举证难度。</w:t>
      </w:r>
    </w:p>
    <w:p>
      <w:pPr>
        <w:pStyle w:val="ListBullet"/>
      </w:pPr>
      <w:r>
        <w:t>**法律依据**：《最高人民法院关于民事诉讼证据的若干规定》第九十二条。</w:t>
      </w:r>
    </w:p>
    <w:p>
      <w:pPr>
        <w:pStyle w:val="ListBullet"/>
      </w:pPr>
      <w:r>
        <w:t>修改建议：</w:t>
      </w:r>
    </w:p>
    <w:p>
      <w:r>
        <w:t>&gt; "以下为合同签署栏"</w:t>
      </w:r>
    </w:p>
    <w:p>
      <w:r>
        <w:t>&gt; "甲方：浙江农村商业联合银行股份有限公司"</w:t>
      </w:r>
    </w:p>
    <w:p>
      <w:r>
        <w:t>&gt; "（加盖单位公章）"</w:t>
      </w:r>
    </w:p>
    <w:p>
      <w:r>
        <w:t>&gt; "法定代表人（签字）：__________________"</w:t>
      </w:r>
    </w:p>
    <w:p>
      <w:r>
        <w:t>&gt; "或授权代理人（签字）：__________________"</w:t>
      </w:r>
    </w:p>
    <w:p>
      <w:r>
        <w:t>&gt; "日期：2025年    月    日"</w:t>
      </w:r>
    </w:p>
    <w:p>
      <w:r>
        <w:t>&gt; "乙方：腾讯云计算（北京）有限责任公司"</w:t>
      </w:r>
    </w:p>
    <w:p>
      <w:r>
        <w:t>&gt; "（加盖单位公章）"</w:t>
      </w:r>
    </w:p>
    <w:p>
      <w:r>
        <w:t>&gt; "法定代表人（签字）：__________________"</w:t>
      </w:r>
    </w:p>
    <w:p>
      <w:r>
        <w:t>&gt; "或授权代理人（签字）：__________________"</w:t>
      </w:r>
    </w:p>
    <w:p>
      <w:r>
        <w:t>&gt; "日期：2025年    月    日"</w:t>
      </w:r>
    </w:p>
    <w:p>
      <w:r>
        <w:t>#### 检查要点6: 付款条件中“每个月自确认账单并收到发票之日起30个工作日内”存在逻辑矛盾</w:t>
      </w:r>
    </w:p>
    <w:p>
      <w:pPr>
        <w:pStyle w:val="ListBullet"/>
      </w:pPr>
      <w:r>
        <w:t>**风险等级**：中</w:t>
      </w:r>
    </w:p>
    <w:p>
      <w:pPr>
        <w:pStyle w:val="ListBullet"/>
      </w:pPr>
      <w:r>
        <w:t>**审查结论**：“每个月”与“30个工作日”周期不匹配（一个月可能含22–23个工作日，也可能超30日），导致履行期限不明。</w:t>
      </w:r>
    </w:p>
    <w:p>
      <w:pPr>
        <w:pStyle w:val="ListBullet"/>
      </w:pPr>
      <w:r>
        <w:t>原文引用：</w:t>
      </w:r>
    </w:p>
    <w:p>
      <w:r>
        <w:t>&gt; "甲方应每个月自确认账单并收到发票之日起 30个工作日内向乙方付款。"</w:t>
      </w:r>
    </w:p>
    <w:p>
      <w:pPr>
        <w:pStyle w:val="ListBullet"/>
      </w:pPr>
      <w:r>
        <w:t>**所在位置**：附件一（商务要求）</w:t>
      </w:r>
    </w:p>
    <w:p>
      <w:pPr>
        <w:pStyle w:val="ListBullet"/>
      </w:pPr>
      <w:r>
        <w:t>**问题分析**：表述自相矛盾，易引发甲方以“非整月”为由延迟付款，或乙方主张“30日”为绝对期限。</w:t>
      </w:r>
    </w:p>
    <w:p>
      <w:pPr>
        <w:pStyle w:val="ListBullet"/>
      </w:pPr>
      <w:r>
        <w:t>**法律依据**：《民法典》第五百一十条、第五百一十一条。</w:t>
      </w:r>
    </w:p>
    <w:p>
      <w:pPr>
        <w:pStyle w:val="ListBullet"/>
      </w:pPr>
      <w:r>
        <w:t>修改建议：</w:t>
      </w:r>
    </w:p>
    <w:p>
      <w:r>
        <w:t>&gt; "甲方应在确认账单并收到发票之日起30个工作日内向乙方付款。"</w:t>
      </w:r>
    </w:p>
    <w:p>
      <w:r>
        <w:t>#### 检查要点7: 验收标准中“回源流量降低至少50%以上”未明确对比基准</w:t>
      </w:r>
    </w:p>
    <w:p>
      <w:pPr>
        <w:pStyle w:val="ListBullet"/>
      </w:pPr>
      <w:r>
        <w:t>**风险等级**：中</w:t>
      </w:r>
    </w:p>
    <w:p>
      <w:pPr>
        <w:pStyle w:val="ListBullet"/>
      </w:pPr>
      <w:r>
        <w:t>**审查结论**：未说明是以CDN开通前30天历史数据为基准，还是以测试环境数据为基准，标准模糊，缺乏可操作性。</w:t>
      </w:r>
    </w:p>
    <w:p>
      <w:pPr>
        <w:pStyle w:val="ListBullet"/>
      </w:pPr>
      <w:r>
        <w:t>原文引用：</w:t>
      </w:r>
    </w:p>
    <w:p>
      <w:r>
        <w:t>&gt; "回源流量对比经CDN加速前降低至少50%以上。"</w:t>
      </w:r>
    </w:p>
    <w:p>
      <w:pPr>
        <w:pStyle w:val="ListBullet"/>
      </w:pPr>
      <w:r>
        <w:t>**所在位置**：附件一第2条（验收标准）</w:t>
      </w:r>
    </w:p>
    <w:p>
      <w:pPr>
        <w:pStyle w:val="ListBullet"/>
      </w:pPr>
      <w:r>
        <w:t>**问题分析**：无明确基准则无法执行验收，易生争议。</w:t>
      </w:r>
    </w:p>
    <w:p>
      <w:pPr>
        <w:pStyle w:val="ListBullet"/>
      </w:pPr>
      <w:r>
        <w:t>**法律依据**：《民法典》第五百一十条。</w:t>
      </w:r>
    </w:p>
    <w:p>
      <w:pPr>
        <w:pStyle w:val="ListBullet"/>
      </w:pPr>
      <w:r>
        <w:t>修改建议：</w:t>
      </w:r>
    </w:p>
    <w:p>
      <w:r>
        <w:t>&gt; "验收标准：1.CDN加速后，全国范围内用户访问甲方互联网类系统可用性不低于99.9%；2.以CDN加速服务开通前连续30天的历史数据为基准，互联网类系统静态文件的回源流量降低至少50%；3.支持自定义缓存规则..."</w:t>
      </w:r>
    </w:p>
    <w:p>
      <w:r>
        <w:t>---</w:t>
      </w:r>
    </w:p>
    <w:p>
      <w:pPr>
        <w:pStyle w:val="Heading3"/>
      </w:pPr>
      <w:r>
        <w:t>（三）合同文本严谨性</w:t>
      </w:r>
    </w:p>
    <w:p>
      <w:r>
        <w:t>#### 检查要点1: 存在标点混用、语义重复、数字格式不统一等语言文字瑕疵</w:t>
      </w:r>
    </w:p>
    <w:p>
      <w:pPr>
        <w:pStyle w:val="ListBullet"/>
      </w:pPr>
      <w:r>
        <w:t>**风险等级**：中</w:t>
      </w:r>
    </w:p>
    <w:p>
      <w:pPr>
        <w:pStyle w:val="ListBullet"/>
      </w:pPr>
      <w:r>
        <w:t>**审查结论**：多处括号格式不统一（如“腾讯云计算(北京)有限责任公司”应为全角）；“降低至少50%以上”语义重复；“30个工作日”与“每个月”逻辑矛盾；“服务开通日期”在附件一与附件三中分别以甲/乙方系统为准，表述冲突。</w:t>
      </w:r>
    </w:p>
    <w:p>
      <w:pPr>
        <w:pStyle w:val="ListBullet"/>
      </w:pPr>
      <w:r>
        <w:t>原文引用：</w:t>
      </w:r>
    </w:p>
    <w:p>
      <w:r>
        <w:t>&gt; "浙江农村商业联合银行股份有限公司"</w:t>
      </w:r>
    </w:p>
    <w:p>
      <w:r>
        <w:t>&gt; "腾讯云计算(北京)有限责任公司"</w:t>
      </w:r>
    </w:p>
    <w:p>
      <w:r>
        <w:t>&gt; "互联网类系统CDN加速服务项目(三年)采购合同"</w:t>
      </w:r>
    </w:p>
    <w:p>
      <w:r>
        <w:t>&gt; "签订日期：2025年  月  日"</w:t>
      </w:r>
    </w:p>
    <w:p>
      <w:r>
        <w:t>&gt; "邮编：200233"</w:t>
      </w:r>
    </w:p>
    <w:p>
      <w:r>
        <w:t>&gt; "CDN 每日带宽统计点共288个"</w:t>
      </w:r>
    </w:p>
    <w:p>
      <w:r>
        <w:t>&gt; "降低至少50%以上。"</w:t>
      </w:r>
    </w:p>
    <w:p>
      <w:r>
        <w:t>&gt; "服务开通日期以甲方系统记录时间为准。"</w:t>
      </w:r>
    </w:p>
    <w:p>
      <w:r>
        <w:t>&gt; "服务开通日期以乙方系统记录时间为准。"</w:t>
      </w:r>
    </w:p>
    <w:p>
      <w:r>
        <w:t>&gt; "甲方应每个月自确认账单并收到发票之日起 30个工作日内向乙方付款。"</w:t>
      </w:r>
    </w:p>
    <w:p>
      <w:r>
        <w:t>&gt; "汇款备注：浙江农商联合银行CDN服务费+UIN100012773012"</w:t>
      </w:r>
    </w:p>
    <w:p>
      <w:pPr>
        <w:pStyle w:val="ListBullet"/>
      </w:pPr>
      <w:r>
        <w:t>**所在位置**：合同首部、附件一、附件二、附件三</w:t>
      </w:r>
    </w:p>
    <w:p>
      <w:pPr>
        <w:pStyle w:val="ListBullet"/>
      </w:pPr>
      <w:r>
        <w:t>**问题分析**：影响文本专业性与法律解释确定性，可能成为履约争议导火索。</w:t>
      </w:r>
    </w:p>
    <w:p>
      <w:pPr>
        <w:pStyle w:val="ListBullet"/>
      </w:pPr>
      <w:r>
        <w:t>**法律依据**：《GB/T 15834-2011 标点符号用法》；《GB/T 9704-2012 党政机关公文格式》。</w:t>
      </w:r>
    </w:p>
    <w:p>
      <w:pPr>
        <w:pStyle w:val="ListBullet"/>
      </w:pPr>
      <w:r>
        <w:t>修改建议：</w:t>
      </w:r>
    </w:p>
    <w:p>
      <w:r>
        <w:t>&gt; "腾讯云计算（北京）有限责任公司"</w:t>
      </w:r>
    </w:p>
    <w:p>
      <w:r>
        <w:t>&gt; "互联网类系统CDN加速服务项目（三年）采购合同"</w:t>
      </w:r>
    </w:p>
    <w:p>
      <w:r>
        <w:t>&gt; "签订日期：2025年  月  日"</w:t>
      </w:r>
    </w:p>
    <w:p>
      <w:r>
        <w:t>&gt; "邮编：100192"</w:t>
      </w:r>
    </w:p>
    <w:p>
      <w:r>
        <w:t>&gt; "降低50%以上。"</w:t>
      </w:r>
    </w:p>
    <w:p>
      <w:r>
        <w:t>&gt; "服务开通日期以乙方系统记录时间为准。"</w:t>
      </w:r>
    </w:p>
    <w:p>
      <w:r>
        <w:t>&gt; "甲方应自确认账单并收到发票之日起30个工作日内向乙方付款。"</w:t>
      </w:r>
    </w:p>
    <w:p>
      <w:r>
        <w:t>&gt; "汇款备注：浙江农商联合银行CDN服务费+UIN100012773012"</w:t>
      </w:r>
    </w:p>
    <w:p>
      <w:r>
        <w:t>#### 检查要点2: 附件六援引《数据处理及安全协议》存在时间倒挂问题</w:t>
      </w:r>
    </w:p>
    <w:p>
      <w:pPr>
        <w:pStyle w:val="ListBullet"/>
      </w:pPr>
      <w:r>
        <w:t>**风险等级**：中</w:t>
      </w:r>
    </w:p>
    <w:p>
      <w:pPr>
        <w:pStyle w:val="ListBullet"/>
      </w:pPr>
      <w:r>
        <w:t>**审查结论**：附件六提供的协议链接显示“最后更新时间：2026年2月9日”，当前时间为2025年，存在明显时间倒挂，表明版本管理失控。</w:t>
      </w:r>
    </w:p>
    <w:p>
      <w:pPr>
        <w:pStyle w:val="ListBullet"/>
      </w:pPr>
      <w:r>
        <w:t>原文引用：</w:t>
      </w:r>
    </w:p>
    <w:p>
      <w:r>
        <w:t>&gt; "如甲方使用腾讯云境外服务处理的用户业务数据包含任何个人数据，则双方同意相关个人数据的处理应按照《数据处理及安全协议》（https://www.tencentcloud.com/zh/document/product/301/17347?lang=zh&amp;pg=）及中国境内个人数据保护相关法律法规及监管部门要求进行。"</w:t>
      </w:r>
    </w:p>
    <w:p>
      <w:pPr>
        <w:pStyle w:val="ListBullet"/>
      </w:pPr>
      <w:r>
        <w:t>**所在位置**：附件六第三条</w:t>
      </w:r>
    </w:p>
    <w:p>
      <w:pPr>
        <w:pStyle w:val="ListBullet"/>
      </w:pPr>
      <w:r>
        <w:t>**问题分析**：时间倒挂削弱协议可信度，影响数据合规条款的实际约束力。</w:t>
      </w:r>
    </w:p>
    <w:p>
      <w:pPr>
        <w:pStyle w:val="ListBullet"/>
      </w:pPr>
      <w:r>
        <w:t>**法律依据**：《立法法》第一百零五条；《数据安全法》第二十七条。</w:t>
      </w:r>
    </w:p>
    <w:p>
      <w:pPr>
        <w:pStyle w:val="ListBullet"/>
      </w:pPr>
      <w:r>
        <w:t>修改建议：</w:t>
      </w:r>
    </w:p>
    <w:p>
      <w:r>
        <w:t>&gt; "如甲方使用腾讯云境外服务处理的用户业务数据包含任何个人数据，则双方同意相关个人数据的处理应按照腾讯云最新有效的《数据处理及安全协议》（以腾讯云官网公布版本为准）及《中华人民共和国数据安全法》《中华人民共和国个人信息保护法》等中国境内个人数据保护相关法律法规及监管部门要求进行。"</w:t>
      </w:r>
    </w:p>
    <w:p>
      <w:r>
        <w:t>#### 检查要点3: 合同首部笼统援引“《民法典》等法律法规”，未列明数据领域核心法律</w:t>
      </w:r>
    </w:p>
    <w:p>
      <w:pPr>
        <w:pStyle w:val="ListBullet"/>
      </w:pPr>
      <w:r>
        <w:t>**风险等级**：中</w:t>
      </w:r>
    </w:p>
    <w:p>
      <w:pPr>
        <w:pStyle w:val="ListBullet"/>
      </w:pPr>
      <w:r>
        <w:t>**审查结论**：首部仅泛称“《民法典》等法律法规”，附件六虽提及《数据安全法》但未列具体条款，缺乏针对性与执行力。</w:t>
      </w:r>
    </w:p>
    <w:p>
      <w:pPr>
        <w:pStyle w:val="ListBullet"/>
      </w:pPr>
      <w:r>
        <w:t>原文引用：</w:t>
      </w:r>
    </w:p>
    <w:p>
      <w:r>
        <w:t>&gt; "按照《中华人民共和国民法典》等法律法规的规定"</w:t>
      </w:r>
    </w:p>
    <w:p>
      <w:pPr>
        <w:pStyle w:val="ListBullet"/>
      </w:pPr>
      <w:r>
        <w:t>**所在位置**：合同首部</w:t>
      </w:r>
    </w:p>
    <w:p>
      <w:pPr>
        <w:pStyle w:val="ListBullet"/>
      </w:pPr>
      <w:r>
        <w:t>**问题分析**：数据处理义务需依托具体法律条款支撑，笼统援引降低合规刚性。</w:t>
      </w:r>
    </w:p>
    <w:p>
      <w:pPr>
        <w:pStyle w:val="ListBullet"/>
      </w:pPr>
      <w:r>
        <w:t>**法律依据**：《数据安全法》第二十七条。</w:t>
      </w:r>
    </w:p>
    <w:p>
      <w:pPr>
        <w:pStyle w:val="ListBullet"/>
      </w:pPr>
      <w:r>
        <w:t>修改建议：</w:t>
      </w:r>
    </w:p>
    <w:p>
      <w:r>
        <w:t>&gt; "按照《中华人民共和国民法典》《中华人民共和国数据安全法》《中华人民共和国个人信息保护法》等法律法规的规定"</w:t>
      </w:r>
    </w:p>
    <w:p>
      <w:r>
        <w:t>---</w:t>
      </w:r>
    </w:p>
    <w:p>
      <w:pPr>
        <w:pStyle w:val="Heading2"/>
      </w:pPr>
      <w:r>
        <w:t>四、优先处理建议</w:t>
      </w:r>
    </w:p>
    <w:p>
      <w:pPr>
        <w:pStyle w:val="Heading3"/>
      </w:pPr>
      <w:r>
        <w:t>（一）必须立即修订的高风险问题</w:t>
      </w:r>
    </w:p>
    <w:p>
      <w:r>
        <w:t>1. **（一）签约主体合规性-检查要点1**：补充主体持续合规保证条款及失信/涉诉情形下的告知与违约责任机制；</w:t>
      </w:r>
    </w:p>
    <w:p>
      <w:r>
        <w:t>2. **（一）签约主体合规性-检查要点2**：增设乙方CDN业务许可证提供义务、有效性验证机制及无证违约救济路径；</w:t>
      </w:r>
    </w:p>
    <w:p>
      <w:r>
        <w:t>3. **（一）签约主体合规性-检查要点4**：全面重写第七条知识产权条款，明确核心软件权属证明义务、服务衍生成果归属、乙方知识产权瑕疵担保责任；</w:t>
      </w:r>
    </w:p>
    <w:p>
      <w:r>
        <w:t>4. **（二）核心条款完整性-检查要点1**：统一服务可用性标准为“99.9%”，删除附件一中“99%”表述；</w:t>
      </w:r>
    </w:p>
    <w:p>
      <w:r>
        <w:t>5. **（二）核心条款完整性-检查要点2**：统一“服务开通日期”认定主体为乙方系统记录时间；</w:t>
      </w:r>
    </w:p>
    <w:p>
      <w:r>
        <w:t>6. **（二）核心条款完整性-检查要点3**：删除首部所有招投标编号、投标承诺、谈判文件等流程性用语，重构为双方合意表述；</w:t>
      </w:r>
    </w:p>
    <w:p>
      <w:r>
        <w:t>7. **（二）核心条款完整性-检查要点4**：修正乙方名称括号格式为全角“（北京）”，签约页明确使用“单位公章”；</w:t>
      </w:r>
    </w:p>
    <w:p>
      <w:r>
        <w:t>8. **（二）核心条款完整性-检查要点5**：在签署栏前增补“以下为合同签署栏”标识，并规范签署栏结构。</w:t>
      </w:r>
    </w:p>
    <w:p>
      <w:pPr>
        <w:pStyle w:val="Heading3"/>
      </w:pPr>
      <w:r>
        <w:t>（二）建议同步修订的中风险问题</w:t>
      </w:r>
    </w:p>
    <w:p>
      <w:r>
        <w:t>1. **（一）签约主体合规性-检查要点3**：补全甲乙双方法定代表人姓名及职务、联系人职务、修正邮编、补充邮箱地址；</w:t>
      </w:r>
    </w:p>
    <w:p>
      <w:r>
        <w:t>2. **（三）合同文本严谨性-检查要点1**：统一括号格式、删除“至少…以上”冗余表述、修正邮编、统一“服务开通日期”认定标准、优化付款期限表述；</w:t>
      </w:r>
    </w:p>
    <w:p>
      <w:r>
        <w:t>3. **（三）合同文本严谨性-检查要点2**：修正附件六中《数据处理及安全协议》援引方式，强调“以官网最新版本为准”，并列明《数据安全法》《个人信息保护法》；</w:t>
      </w:r>
    </w:p>
    <w:p>
      <w:r>
        <w:t>4. **（二）核心条款完整性-检查要点6 &amp; 7**：将付款期限明确为“确认账单并收到发票之日起30个工作日内”，验收标准明确以“开通前30天历史数据”为基准。</w:t>
      </w:r>
    </w:p>
    <w:p>
      <w:pPr>
        <w:pStyle w:val="Heading3"/>
      </w:pPr>
      <w:r>
        <w:t>（三）可后续验证的低风险问题</w:t>
      </w:r>
    </w:p>
    <w:p>
      <w:r>
        <w:t>*无*</w:t>
      </w:r>
    </w:p>
    <w:p>
      <w:r>
        <w:t>&gt; 本合同经全面审查，未发现符合“低风险”定义（即轻微瑕疵、不影响实质权利义务、无需立即修改）的问题。所有识别出的问题均已按其实际法律后果归入高/中风险类别，并在前述章节中提出具可操作性的修改建议。</w:t>
      </w:r>
    </w:p>
    <w:p>
      <w:r>
        <w:t>---</w:t>
      </w:r>
    </w:p>
    <w:p>
      <w:pPr>
        <w:pStyle w:val="Heading2"/>
      </w:pPr>
      <w:r>
        <w:t>附：审查标准覆盖核查表</w:t>
      </w:r>
    </w:p>
    <w:p>
      <w:r>
        <w:t>| 序号 | 审查内容 | 审查状态 |</w:t>
      </w:r>
    </w:p>
    <w:p>
      <w:r>
        <w:t>|------|---------|---------|</w:t>
      </w:r>
    </w:p>
    <w:p>
      <w:r>
        <w:t>| **1** | **核实签约主体的法律合规性与信息真实性** | **✅** |</w:t>
      </w:r>
    </w:p>
    <w:p>
      <w:r>
        <w:t>| 1.1 | 通过权威工商数据库（如国家企业信用信息公示系统）核查该主体是否存在未结涉法涉诉案件、失信记录、严重违法失信名单等重大风险 | ❌ |</w:t>
      </w:r>
    </w:p>
    <w:p>
      <w:r>
        <w:t>| 1.2 | 核对营业执照所载经营范围，确认本合同项下标的（尤其服务内容或产品类型）属于其登记许可范围之内 | ✅ |</w:t>
      </w:r>
    </w:p>
    <w:p>
      <w:r>
        <w:t>| 1.3 | 逐项比对合同首部列明的主体信息（联系地址、联系电话、传真、法定代表人/负责人姓名及职务、指定联系人及联系方式）与最新工商 | ✅ |</w:t>
      </w:r>
    </w:p>
    <w:p>
      <w:r>
        <w:t>| 1.4 | 若合同涉及软件采购或技术产品交付，核查卖方是否拥有该软件或核心技术的合法知识产权（如著作权登记证书、专利证书、授权链条文 | ✅ |</w:t>
      </w:r>
    </w:p>
    <w:p>
      <w:r>
        <w:t>| **2** | **确保合同核心条款结构完整、要素齐备、逻辑严密** | **✅** |</w:t>
      </w:r>
    </w:p>
    <w:p>
      <w:r>
        <w:t>| 2.1 | 检查合同是否完整涵盖以下必备条款：采购内容、合同金额、付款计划、合同期限、生效条件、知识产权归属与使用限制、产品质量保证 | ❌ |</w:t>
      </w:r>
    </w:p>
    <w:p>
      <w:r>
        <w:t>| 2.2 | 确认合同中已明确指定主要项目负责人，并完整载明其姓名、身份证号码及有效联系电话 | ❌ |</w:t>
      </w:r>
    </w:p>
    <w:p>
      <w:r>
        <w:t>| 2.3 | 核查采购内容描述是否具体、可执行：包括但不限于品种、规格、型号、等级、花色等关键参数；如需细化，应通过附件形式补充并注明 | ❌ |</w:t>
      </w:r>
    </w:p>
    <w:p>
      <w:r>
        <w:t>| 2.4 | 核验合同金额表述是否准确完整：数量单位明确、单价与总价分列、币种清晰、大小写一致；总价须与各分项合计严格吻合 | ❌ |</w:t>
      </w:r>
    </w:p>
    <w:p>
      <w:r>
        <w:t>| 2.5 | 审查付款计划是否设置清晰节点（如签约后、到货后、初验后、终验后、维保期满后），其中至少预留不低于5%合同总额作为质保金， | ❌ |</w:t>
      </w:r>
    </w:p>
    <w:p>
      <w:r>
        <w:t>| 2.6 | 核实合同期限是否以明确时间单位（年/季/月/日）表述，且对‘自然日’‘工作日’‘自然季度’‘滚动季度’等术语作出准确定义 | ❌ |</w:t>
      </w:r>
    </w:p>
    <w:p>
      <w:r>
        <w:t>| **3** | **保障合同文本语言严谨、格式统一、内外一致** | **✅** |</w:t>
      </w:r>
    </w:p>
    <w:p>
      <w:r>
        <w:t>| 3.1 | 通读全文，排查错别字、标点误用、语序混乱、主谓不一致、成分残缺等语言文字错误及明显语病 | ✅ |</w:t>
      </w:r>
    </w:p>
    <w:p>
      <w:r>
        <w:t>| 3.2 | 逐条比对正文与所有附件（含技术规格书、服务清单、报价明细等）中相同事项的约定（如验收标准、交付时间、付款条件、知识产权归 | ✅ |</w:t>
      </w:r>
    </w:p>
    <w:p>
      <w:r>
        <w:t>| 3.3 | 筛查合同正文中是否残留‘招标文件’‘谈判响应文件’‘比选单位’‘中标通知书’等非合同签署阶段的流程性用语，应统一替换为‘ | ✅ |</w:t>
      </w:r>
    </w:p>
    <w:p>
      <w:r>
        <w:t>| 3.4 | 确认合同首部‘甲方/乙方’全称、签约页盖章主体名称、签字页落款名称三者完全一致，不得存在简称、缩写、曾用名或注册名称与实 | ✅ |</w:t>
      </w:r>
    </w:p>
    <w:p>
      <w:r>
        <w:t>| 3.5 | 核查合同中援引的法律法规（如《民法典》第XXX条、《数据安全法》第X条等）是否现行有效，引用条款是否存在已被修订、废止或 | ✅ |</w:t>
      </w:r>
    </w:p>
    <w:p>
      <w:r>
        <w:t>| 3.6 | 确认合同正文末尾（签署栏之前）是否规范标注‘以下为合同签署栏’或‘以下无正文’字样，防止被擅自添加内容 | ✅ |</w:t>
      </w:r>
    </w:p>
    <w:p>
      <w:r>
        <w:t>**覆盖率：9/16（56%）**</w:t>
      </w:r>
    </w:p>
    <w:p>
      <w:r>
        <w:t>---</w:t>
      </w:r>
    </w:p>
    <w:p>
      <w:pPr>
        <w:pStyle w:val="Heading2"/>
      </w:pPr>
      <w:r>
        <w:t>附：Token 消耗统计</w:t>
      </w:r>
    </w:p>
    <w:p>
      <w:r>
        <w:t>| 阶段 | Token 消耗 |</w:t>
      </w:r>
    </w:p>
    <w:p>
      <w:r>
        <w:t>|------|----------|</w:t>
      </w:r>
    </w:p>
    <w:p>
      <w:r>
        <w:t>| 规划（Planner） | 1,642 |</w:t>
      </w:r>
    </w:p>
    <w:p>
      <w:r>
        <w:t>| 审查（Sub-Agents + Reflectors） | 139,841 |</w:t>
      </w:r>
    </w:p>
    <w:p>
      <w:r>
        <w:t>| 汇总（Summarizer） | 15,721 |</w:t>
      </w:r>
    </w:p>
    <w:p>
      <w:r>
        <w:t>| **合计** | **157,204**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