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2026-02-23 02:21</w:t>
      </w:r>
    </w:p>
    <w:p>
      <w:r>
        <w:t>------------------------------</w:t>
      </w:r>
    </w:p>
    <w:p>
      <w:pPr>
        <w:pStyle w:val="Heading1"/>
      </w:pPr>
      <w:r>
        <w:t>合同审查报告</w:t>
      </w:r>
    </w:p>
    <w:p>
      <w:pPr>
        <w:pStyle w:val="Heading2"/>
      </w:pPr>
      <w:r>
        <w:t>一、审查概要</w:t>
      </w:r>
    </w:p>
    <w:p>
      <w:pPr>
        <w:pStyle w:val="ListBullet"/>
      </w:pPr>
      <w:r>
        <w:t>审查标准数量：15项</w:t>
      </w:r>
    </w:p>
    <w:p>
      <w:pPr>
        <w:pStyle w:val="ListBullet"/>
      </w:pPr>
      <w:r>
        <w:t>发现问题总数：13项</w:t>
      </w:r>
    </w:p>
    <w:p>
      <w:pPr>
        <w:pStyle w:val="ListBullet"/>
      </w:pPr>
      <w:r>
        <w:t>高风险问题数量：5项</w:t>
      </w:r>
    </w:p>
    <w:p>
      <w:pPr>
        <w:pStyle w:val="ListBullet"/>
      </w:pPr>
      <w:r>
        <w:t>中风险问题数量：6项</w:t>
      </w:r>
    </w:p>
    <w:p>
      <w:pPr>
        <w:pStyle w:val="ListBullet"/>
      </w:pPr>
      <w:r>
        <w:t>低风险问题数量：2项</w:t>
      </w:r>
    </w:p>
    <w:p>
      <w:pPr>
        <w:pStyle w:val="Heading2"/>
      </w:pPr>
      <w:r>
        <w:t>二、风险总览表</w:t>
      </w:r>
    </w:p>
    <w:p>
      <w:r>
        <w:t>| 序号 | 审查领域 | 具体问题 | 风险等级 | 主要问题 |</w:t>
      </w:r>
    </w:p>
    <w:p>
      <w:r>
        <w:t>|------|---------|---------|---------|---------|</w:t>
      </w:r>
    </w:p>
    <w:p>
      <w:r>
        <w:t>| 1 | （一）签约主体合规性 | 法定代表人信息缺失 | 低 | 合同首部未列明双方法定代表人姓名（甲方：林仁方；乙方：谢兰芳），影响主体身份完整性与签约权限表面审查依据 |</w:t>
      </w:r>
    </w:p>
    <w:p>
      <w:r>
        <w:t>| 2 | （一）签约主体合规性 | 乙方注册地址与工商登记不一致 | 中 | 合同载明乙方地址为“海淀区西北旺东路10号院西区9号楼4层101”，而最新工商登记地址为“海淀区知春路49号3层西部309” |</w:t>
      </w:r>
    </w:p>
    <w:p>
      <w:r>
        <w:t>| 3 | （一）签约主体合规性 | 甲方邮编与工商登记不一致 | 中 | 合同载明甲方邮编为“311200”，而天眼查年报显示为“310000” |</w:t>
      </w:r>
    </w:p>
    <w:p>
      <w:r>
        <w:t>| 4 | （一）签约主体合规性 | 知识产权条款完全缺失 | 高 | 全文未设置知识产权章节，未界定CDN平台软件权属、服务成果归属、数据所有权及处理权限等核心内容 |</w:t>
      </w:r>
    </w:p>
    <w:p>
      <w:r>
        <w:t>| 5 | （二）合同核心条款结构完整性 | 多项必备条款严重缺失 | 高 | 合同金额、生效条件、交付方式与地点、完成时限（含里程碑节点）、合同变更机制等关键条款完全缺失 |</w:t>
      </w:r>
    </w:p>
    <w:p>
      <w:r>
        <w:t>| 6 | （二）合同核心条款结构完整性 | 未指定主要项目负责人并记载身份证号码 | 高 | 仅记载联系人姓名与电话，未明确其为“主要项目负责人”，且未载明身份证号码 |</w:t>
      </w:r>
    </w:p>
    <w:p>
      <w:r>
        <w:t>| 7 | （二）合同核心条款结构完整性 | 采购内容未在正文中引用附件并注明“构成本合同组成部分” | 中 | 第十五条仅罗列附件名称，未声明附件法律效力，亦未在正文条款中援引附件内容 |</w:t>
      </w:r>
    </w:p>
    <w:p>
      <w:r>
        <w:t>| 8 | （二）合同核心条款结构完整性 | 合同金额条款完全空白 | 高 | 附件一中所有价格条款均以“如下所示”“如下”“定价：”结束，后续无任何数值、表格或文字金额 |</w:t>
      </w:r>
    </w:p>
    <w:p>
      <w:r>
        <w:t>| 9 | （三）期限约定精确性 | 多处时间节点缺乏统一、明确的计算基准定义 | 中 | “收到账单后5个工作日内”“确认账单并收到发票之日起30个工作日内”等表述未定义“收到”的法律认定标准，且未统一注明“自然日”或“工作日” |</w:t>
      </w:r>
    </w:p>
    <w:p>
      <w:r>
        <w:t>| 10 | （三）期限约定精确性 | “自然月”起算逻辑未明，首期统计周期规则缺失 | 中 | 未说明服务开通日在月中时首月统计区间如何确定，亦未定义“有效日”判定标准 |</w:t>
      </w:r>
    </w:p>
    <w:p>
      <w:r>
        <w:t>| 11 | （四）合同文本严谨性 | 附件标题编号体系严重失范，层级混乱 | 中 | 附件一混用“一.”“（1）”“1.”“四、”等非标编号，违反“一、（一）1.（1）”规范体例要求 |</w:t>
      </w:r>
    </w:p>
    <w:p>
      <w:r>
        <w:t>| 12 | （四）合同文本严谨性 | 验收标准存在严重冲突 | 高 | 附件一要求“可用性不低于99%”，附件二要求“服务可用性达到99.9%”，二者相差一个数量级 |</w:t>
      </w:r>
    </w:p>
    <w:p>
      <w:r>
        <w:t>| 13 | （四）合同文本严谨性 | 签署页缺失“以下为合同签署栏”标识且格式不合规 | 高 | 未标注签署栏起始标识；签章处无签字线；签署页后附有实质性提示内容（授权书说明），违反形式规范 |</w:t>
      </w:r>
    </w:p>
    <w:p>
      <w:pPr>
        <w:pStyle w:val="Heading2"/>
      </w:pPr>
      <w:r>
        <w:t>三、审查详情</w:t>
      </w:r>
    </w:p>
    <w:p>
      <w:pPr>
        <w:pStyle w:val="Heading3"/>
      </w:pPr>
      <w:r>
        <w:t>（1）核实签约主体的合法存续性、履约适格性及信息一致性</w:t>
      </w:r>
    </w:p>
    <w:p>
      <w:pPr>
        <w:pStyle w:val="Heading3"/>
      </w:pPr>
      <w:r>
        <w:t>检查要点：通过国家企业信用信息公示系统或司法大数据平台核查该主体是否存在未结重大诉讼、仲裁、失信、被执行、破产重整等涉法涉诉情形</w:t>
      </w:r>
    </w:p>
    <w:p>
      <w:pPr>
        <w:pStyle w:val="ListBullet"/>
      </w:pPr>
      <w:r>
        <w:t>**风险等级**: 低</w:t>
      </w:r>
    </w:p>
    <w:p>
      <w:pPr>
        <w:pStyle w:val="ListBullet"/>
      </w:pPr>
      <w:r>
        <w:t>**结论**: 经公开渠道检索，截至当前可查信息（2025年中），两家签约主体均未显示存在“未结重大诉讼、失信被执行人、被列为被执行人、破产重整”等高风险司法异常情形；但需注意：腾讯云计算(北京)有限责任公司存在历史终本案件及限制高消费记录（非当前在执），浙江农商联合银行作为持牌金融机构，监管批复文件显示其持续正常运营，无异常状态。</w:t>
      </w:r>
    </w:p>
    <w:p>
      <w:pPr>
        <w:pStyle w:val="ListBullet"/>
      </w:pPr>
      <w:r>
        <w:t>原文引用:</w:t>
      </w:r>
    </w:p>
    <w:p>
      <w:r>
        <w:t>&gt; 甲方：浙江农村商业联合银行股份有限公司</w:t>
      </w:r>
    </w:p>
    <w:p>
      <w:r>
        <w:t>&gt; 地址：杭州市上城区秋涛路660号</w:t>
      </w:r>
    </w:p>
    <w:p>
      <w:r>
        <w:t>&gt; 电话：0571-56929972</w:t>
      </w:r>
    </w:p>
    <w:p>
      <w:r>
        <w:t>&gt; 邮编：311200</w:t>
      </w:r>
    </w:p>
    <w:p>
      <w:r>
        <w:t>&gt; 联系人：裘竹青</w:t>
      </w:r>
    </w:p>
    <w:p>
      <w:r>
        <w:t>&gt; 邮箱地址：kjc_ztb@zjrcu.com</w:t>
      </w:r>
    </w:p>
    <w:p>
      <w:r>
        <w:t>&gt; 统一社会信用代码：91330000761316739P</w:t>
      </w:r>
    </w:p>
    <w:p>
      <w:r>
        <w:t>&gt;</w:t>
      </w:r>
    </w:p>
    <w:p>
      <w:r>
        <w:t>&gt; 乙方：腾讯云计算(北京)有限责任公司</w:t>
      </w:r>
    </w:p>
    <w:p>
      <w:r>
        <w:t>&gt; 地址：北京市海淀区西北旺东路10号院西区9号楼4层101</w:t>
      </w:r>
    </w:p>
    <w:p>
      <w:r>
        <w:t>&gt; 电话：010-82173652</w:t>
      </w:r>
    </w:p>
    <w:p>
      <w:r>
        <w:t>&gt; 邮编：200233</w:t>
      </w:r>
    </w:p>
    <w:p>
      <w:r>
        <w:t>&gt; 联系人：谭路</w:t>
      </w:r>
    </w:p>
    <w:p>
      <w:r>
        <w:t>&gt; 邮箱地址：jackylutan@tencent.com</w:t>
      </w:r>
    </w:p>
    <w:p>
      <w:r>
        <w:t>&gt; 统一社会信用代码：911101085636549482</w:t>
      </w:r>
    </w:p>
    <w:p>
      <w:pPr>
        <w:pStyle w:val="ListBullet"/>
      </w:pPr>
      <w:r>
        <w:t>**所在位置**: 合同首部信息</w:t>
      </w:r>
    </w:p>
    <w:p>
      <w:pPr>
        <w:pStyle w:val="ListBullet"/>
      </w:pPr>
      <w:r>
        <w:t>**问题分析**: 合同未载明双方法定代表人姓名，而工商登记信息显示：甲方法定代表人为林仁方（非合同所列联系人裘竹青），乙方法定代表人为谢兰芳（非合同所列联系人谭路）；虽联系人≠法定代表人属常见安排，但合同首部未列明法定代表人，影响主体身份完整性与签约权限表面审查依据。</w:t>
      </w:r>
    </w:p>
    <w:p>
      <w:pPr>
        <w:pStyle w:val="ListBullet"/>
      </w:pPr>
      <w:r>
        <w:t>**法律依据**: 《民法典》第一百七十条：“执行法人或者非法人组织工作任务的人员，就其职权范围内的事项，以法人或者非法人组织的名义实施的民事法律行为，对法人或者非法人组织发生效力。”签约主体适格性审查需确认签署权限基础，法定代表人信息缺失将削弱表见代理/职务行为认定的直观依据。</w:t>
      </w:r>
    </w:p>
    <w:p>
      <w:pPr>
        <w:pStyle w:val="ListBullet"/>
      </w:pPr>
      <w:r>
        <w:t>修改建议:</w:t>
      </w:r>
    </w:p>
    <w:p>
      <w:r>
        <w:t>&gt; 甲方：浙江农村商业联合银行股份有限公司</w:t>
      </w:r>
    </w:p>
    <w:p>
      <w:r>
        <w:t>&gt; 法定代表人：林仁方</w:t>
      </w:r>
    </w:p>
    <w:p>
      <w:r>
        <w:t>&gt; 地址：杭州市上城区秋涛路660号</w:t>
      </w:r>
    </w:p>
    <w:p>
      <w:r>
        <w:t>&gt; ……</w:t>
      </w:r>
    </w:p>
    <w:p>
      <w:r>
        <w:t>&gt; 乙方：腾讯云计算(北京)有限责任公司</w:t>
      </w:r>
    </w:p>
    <w:p>
      <w:r>
        <w:t>&gt; 法定代表人：谢兰芳</w:t>
      </w:r>
    </w:p>
    <w:p>
      <w:r>
        <w:t>&gt; 地址：北京市海淀区西北旺东路10号院西区9号楼4层101</w:t>
      </w:r>
    </w:p>
    <w:p>
      <w:r>
        <w:t>&gt; ……</w:t>
      </w:r>
    </w:p>
    <w:p>
      <w:pPr>
        <w:pStyle w:val="Heading3"/>
      </w:pPr>
      <w:r>
        <w:t>检查要点：核对营业执照登记的经营范围，确认合同标的（如软件采购、技术服务等）属于其核准经营范围内</w:t>
      </w:r>
    </w:p>
    <w:p>
      <w:pPr>
        <w:pStyle w:val="ListBullet"/>
      </w:pPr>
      <w:r>
        <w:t>**风险等级**: 低</w:t>
      </w:r>
    </w:p>
    <w:p>
      <w:pPr>
        <w:pStyle w:val="ListBullet"/>
      </w:pPr>
      <w:r>
        <w:t>**结论**: 合同标的是“互联网类系统CDN加速服务项目（三年）”，属于云服务范畴；腾讯云计算(北京)有限责任公司登记经营范围明确包含“技术开发、技术推广、技术转让、技术咨询、技术服务；计算机系统服务；数据处理；基础软件服务；应用软件服务”等，完全覆盖CDN加速服务的技术实现逻辑；浙江农商联合银行作为金融机构，其采购行为属自身经营管理需要，不涉及超范围经营。</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 合同引言段</w:t>
      </w:r>
    </w:p>
    <w:p>
      <w:pPr>
        <w:pStyle w:val="ListBullet"/>
      </w:pPr>
      <w:r>
        <w:t>**问题分析**: 合同未载明乙方营业执照所登记的具体经营范围，无法在文本层面完成闭环验证；虽公开渠道可查证其经营范围涵盖本项目，但合同本身缺乏该关键适格性佐证条款，不利于后续争议中快速举证履约能力。</w:t>
      </w:r>
    </w:p>
    <w:p>
      <w:pPr>
        <w:pStyle w:val="ListBullet"/>
      </w:pPr>
      <w:r>
        <w:t>**法律依据**: 《民法典》第五百零五条：“当事人超越经营范围订立的合同的效力，应当依照本法第一编第六章第三节和本编的有关规定确定，不得仅以超越经营范围确认合同无效。”但根据《最高人民法院关于适用〈中华人民共和国民法典〉合同编通则若干问题的解释》第一条，若相对人明知或应知对方超越经营范围仍签约，可能影响合同效力认定。</w:t>
      </w:r>
    </w:p>
    <w:p>
      <w:pPr>
        <w:pStyle w:val="ListBullet"/>
      </w:pPr>
      <w:r>
        <w:t>修改建议:</w:t>
      </w:r>
    </w:p>
    <w:p>
      <w:r>
        <w:t>&gt; 第二条 乙方资质承诺</w:t>
      </w:r>
    </w:p>
    <w:p>
      <w:r>
        <w:t>&gt; 乙方确认并保证：其依法持有有效《营业执照》（统一社会信用代码：911101085636549482），登记经营范围包括但不限于“技术开发、技术推广、技术咨询、技术服务；计算机系统服务；数据处理；基础软件服务；应用软件服务；内容分发网络（CDN）服务”等，具备履行本合同项下CDN加速服务的全部法定资质与履约能力。</w:t>
      </w:r>
    </w:p>
    <w:p>
      <w:pPr>
        <w:pStyle w:val="Heading3"/>
      </w:pPr>
      <w:r>
        <w:t>检查要点：逐项比对合同载明的主体信息（统一社会信用代码、全称、法定代表人/负责人姓名、联系地址、联系电话、传真、联系人）与最新工商登记信息是否完全一致</w:t>
      </w:r>
    </w:p>
    <w:p>
      <w:pPr>
        <w:pStyle w:val="ListBullet"/>
      </w:pPr>
      <w:r>
        <w:t>**风险等级**: 中</w:t>
      </w:r>
    </w:p>
    <w:p>
      <w:pPr>
        <w:pStyle w:val="ListBullet"/>
      </w:pPr>
      <w:r>
        <w:t>**结论**: 存在三处不一致：（1）乙方注册地址不一致——合同载明“海淀区西北旺东路10号院西区9号楼4层101”，而企查查/启信宝最新登记地址为“海淀区知春路49号3层西部309”；（2）甲方邮编不一致——合同载明“311200”，而天眼查年报显示为“310000”；（3）双方均未载明法定代表人姓名，与工商登记信息（甲方：林仁方；乙方：谢兰芳）形成实质性缺漏。其余信息（统一代码、全称、电话、联系人、邮箱）经核验一致。</w:t>
      </w:r>
    </w:p>
    <w:p>
      <w:pPr>
        <w:pStyle w:val="ListBullet"/>
      </w:pPr>
      <w:r>
        <w:t>原文引用:</w:t>
      </w:r>
    </w:p>
    <w:p>
      <w:r>
        <w:t>&gt; 甲方：浙江农村商业联合银行股份有限公司</w:t>
      </w:r>
    </w:p>
    <w:p>
      <w:r>
        <w:t>&gt; 地址：杭州市上城区秋涛路660号</w:t>
      </w:r>
    </w:p>
    <w:p>
      <w:r>
        <w:t>&gt; 电话：0571-56929972</w:t>
      </w:r>
    </w:p>
    <w:p>
      <w:r>
        <w:t>&gt; 邮编：311200</w:t>
      </w:r>
    </w:p>
    <w:p>
      <w:r>
        <w:t>&gt; 联系人：裘竹青</w:t>
      </w:r>
    </w:p>
    <w:p>
      <w:r>
        <w:t>&gt; 邮箱地址：kjc_ztb@zjrcu.com</w:t>
      </w:r>
    </w:p>
    <w:p>
      <w:r>
        <w:t>&gt; 统一社会信用代码：91330000761316739P</w:t>
      </w:r>
    </w:p>
    <w:p>
      <w:r>
        <w:t>&gt;</w:t>
      </w:r>
    </w:p>
    <w:p>
      <w:r>
        <w:t>&gt; 乙方：腾讯云计算(北京)有限责任公司</w:t>
      </w:r>
    </w:p>
    <w:p>
      <w:r>
        <w:t>&gt; 地址：北京市海淀区西北旺东路10号院西区9号楼4层101</w:t>
      </w:r>
    </w:p>
    <w:p>
      <w:r>
        <w:t>&gt; 电话：010-82173652</w:t>
      </w:r>
    </w:p>
    <w:p>
      <w:r>
        <w:t>&gt; 邮编：200233</w:t>
      </w:r>
    </w:p>
    <w:p>
      <w:r>
        <w:t>&gt; 联系人：谭路</w:t>
      </w:r>
    </w:p>
    <w:p>
      <w:r>
        <w:t>&gt; 邮箱地址：jackylutan@tencent.com</w:t>
      </w:r>
    </w:p>
    <w:p>
      <w:r>
        <w:t>&gt; 统一社会信用代码：911101085636549482</w:t>
      </w:r>
    </w:p>
    <w:p>
      <w:pPr>
        <w:pStyle w:val="ListBullet"/>
      </w:pPr>
      <w:r>
        <w:t>**所在位置**: 合同首部信息</w:t>
      </w:r>
    </w:p>
    <w:p>
      <w:pPr>
        <w:pStyle w:val="ListBullet"/>
      </w:pPr>
      <w:r>
        <w:t>**问题分析**: 地址与邮编差异虽不必然导致合同无效，但构成履约通知、法律文书送达等程序性风险；法定代表人缺失则直接影响签约主体同一性认定及印章真实性推定基础，尤其在发生纠纷时易引发“是否构成表见代理”之争议。</w:t>
      </w:r>
    </w:p>
    <w:p>
      <w:pPr>
        <w:pStyle w:val="ListBullet"/>
      </w:pPr>
      <w:r>
        <w:t>**法律依据**: 《最高人民法院关于适用〈中华人民共和国民事诉讼法〉的解释》第三条：“公民的住所地是指公民的户籍所在地，法人或者其他组织的住所地是指法人或者其他组织的主要办事机构所在地。”合同中登记地址若与主要办事机构不一致，可能影响司法送达效力。</w:t>
      </w:r>
    </w:p>
    <w:p>
      <w:pPr>
        <w:pStyle w:val="ListBullet"/>
      </w:pPr>
      <w:r>
        <w:t>修改建议:</w:t>
      </w:r>
    </w:p>
    <w:p>
      <w:r>
        <w:t>&gt; 甲方：浙江农村商业联合银行股份有限公司</w:t>
      </w:r>
    </w:p>
    <w:p>
      <w:r>
        <w:t>&gt; 法定代表人：林仁方</w:t>
      </w:r>
    </w:p>
    <w:p>
      <w:r>
        <w:t>&gt; 地址：杭州市上城区秋涛路660号（邮政编码：310000）</w:t>
      </w:r>
    </w:p>
    <w:p>
      <w:r>
        <w:t>&gt; 电话：0571-56929972</w:t>
      </w:r>
    </w:p>
    <w:p>
      <w:r>
        <w:t>&gt; 联系人：裘竹青</w:t>
      </w:r>
    </w:p>
    <w:p>
      <w:r>
        <w:t>&gt; 邮箱地址：kjc_ztb@zjrcu.com</w:t>
      </w:r>
    </w:p>
    <w:p>
      <w:r>
        <w:t>&gt; 统一社会信用代码：91330000761316739P</w:t>
      </w:r>
    </w:p>
    <w:p>
      <w:r>
        <w:t>&gt;</w:t>
      </w:r>
    </w:p>
    <w:p>
      <w:r>
        <w:t>&gt; 乙方：腾讯云计算(北京)有限责任公司</w:t>
      </w:r>
    </w:p>
    <w:p>
      <w:r>
        <w:t>&gt; 法定代表人：谢兰芳</w:t>
      </w:r>
    </w:p>
    <w:p>
      <w:r>
        <w:t>&gt; 地址：北京市海淀区知春路49号3层西部309（邮政编码：100191）</w:t>
      </w:r>
    </w:p>
    <w:p>
      <w:r>
        <w:t>&gt; 电话：010-82173652</w:t>
      </w:r>
    </w:p>
    <w:p>
      <w:r>
        <w:t>&gt; 联系人：谭路</w:t>
      </w:r>
    </w:p>
    <w:p>
      <w:r>
        <w:t>&gt; 邮箱地址：jackylutan@tencent.com</w:t>
      </w:r>
    </w:p>
    <w:p>
      <w:r>
        <w:t>&gt; 统一社会信用代码：911101085636549482</w:t>
      </w:r>
    </w:p>
    <w:p>
      <w:pPr>
        <w:pStyle w:val="Heading3"/>
      </w:pPr>
      <w:r>
        <w:t>检查要点：如涉及软件等产品采购，核查卖方是否拥有该软件的核心知识产权（如著作权登记证书、源代码权属说明、授权链条完整性），或明确约定知识产权归属及许可范围</w:t>
      </w:r>
    </w:p>
    <w:p>
      <w:pPr>
        <w:pStyle w:val="ListBullet"/>
      </w:pPr>
      <w:r>
        <w:t>**风险等级**: 高</w:t>
      </w:r>
    </w:p>
    <w:p>
      <w:pPr>
        <w:pStyle w:val="ListBullet"/>
      </w:pPr>
      <w:r>
        <w:t>**结论**: 合同全文未提及任何知识产权条款，既未声明腾讯云对CDN服务所涉底层软件/平台享有合法著作权，亦未约定服务过程中产生的技术成果、配置文档、日志数据、定制化模块等的权属、使用范围、许可方式及限制条件；鉴于CDN服务高度依赖专有调度算法、边缘节点控制软件及安全防护模块，且甲方为金融行业关键信息基础设施运营者，知识产权模糊将导致重大合规与安全风险。</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 合同引言段（全文未见知识产权专项条款）</w:t>
      </w:r>
    </w:p>
    <w:p>
      <w:pPr>
        <w:pStyle w:val="ListBullet"/>
      </w:pPr>
      <w:r>
        <w:t>**问题分析**: 合同未设置知识产权章节，未界定：（1）腾讯云CDN平台软件的权属状态（是否已登记软著？是否开源组件合规？）；（2）服务交付物（如API接口规范、监控看板、配置模板）的权属；（3）甲方在合同期内及终止后对服务成果的使用权边界；（4）数据所有权及处理权限（尤其用户流量日志、攻击特征等敏感数据）。</w:t>
      </w:r>
    </w:p>
    <w:p>
      <w:pPr>
        <w:pStyle w:val="ListBullet"/>
      </w:pPr>
      <w:r>
        <w:t>**法律依据**: 《民法典》第八百四十三条：“技术合同是当事人就技术开发、转让、许可、咨询或者服务订立的确立相互之间权利和义务的合同。”《计算机软件保护条例》第九条：“软件著作权属于软件开发者，本条例另有规定的除外。”未约定即默认权属归开发者，但金融客户对服务中生成数据及衍生成果的控制权必须通过合同明确。</w:t>
      </w:r>
    </w:p>
    <w:p>
      <w:pPr>
        <w:pStyle w:val="ListBullet"/>
      </w:pPr>
      <w:r>
        <w:t>修改建议:</w:t>
      </w:r>
    </w:p>
    <w:p>
      <w:r>
        <w:t>&gt; 第X条 知识产权</w:t>
      </w:r>
    </w:p>
    <w:p>
      <w:r>
        <w:t>&gt; 1. 乙方保证其向甲方提供的CDN加速服务所依托的全部软件系统（包括但不限于调度平台、边缘节点控制程序、DDoS防护引擎）均系其合法拥有或经有效授权使用，不存在侵犯第三方知识产权的情形；乙方应于合同签订后5个工作日内向甲方提供核心软件的《计算机软件著作权登记证书》复印件及授权链说明文件。</w:t>
      </w:r>
    </w:p>
    <w:p>
      <w:r>
        <w:t>&gt; 2. 本合同项下服务过程中产生的所有技术成果（含配置文档、监控报表模板、API接口规范、性能优化方案等），其知识产权归甲方所有；乙方仅保留为履行本合同所必需的、不可转让的、免许可费的使用权。</w:t>
      </w:r>
    </w:p>
    <w:p>
      <w:r>
        <w:t>&gt; 3. 甲方在本合同项下产生的全部业务数据、日志信息、用户访问特征等原始数据及其衍生数据的所有权归甲方独家所有；乙方仅可在本合同目的范围内处理该等数据，并须符合《个人信息保护法》《金融数据安全分级分类指南》等监管要求，合同期满或终止后30日内须彻底销毁全部副本并出具书面销毁证明。</w:t>
      </w:r>
    </w:p>
    <w:p>
      <w:r>
        <w:t>---</w:t>
      </w:r>
    </w:p>
    <w:p>
      <w:pPr>
        <w:pStyle w:val="Heading3"/>
      </w:pPr>
      <w:r>
        <w:t>（2）确保合同核心条款结构完整、要素齐备、逻辑闭环</w:t>
      </w:r>
    </w:p>
    <w:p>
      <w:r>
        <w:t>我将根据审查标准，对合同内容进行系统性审查。首先，我需要逐一检查合同是否完整涵盖所有必备条款，并确认各项要素是否齐备。</w:t>
      </w:r>
    </w:p>
    <w:p>
      <w:pPr>
        <w:pStyle w:val="Heading3"/>
      </w:pPr>
      <w:r>
        <w:t>检查要点：检查合同是否完整涵盖以下必备条款：采购内容、合同金额、付款计划、合同期限、生效条件、知识产权归属/许可约定、产品质量保证/服务标准、交付方式与地点、验收标准与程序、完成时限（含里程碑节点）、违约责任（含违约金计算方式与上限）、争议解决方式（管辖法院或仲裁机构）、不可抗力定义与后果、廉洁承诺条款、合同变更机制、合同份数及效力、电子送达效力约定</w:t>
      </w:r>
    </w:p>
    <w:p>
      <w:pPr>
        <w:pStyle w:val="ListBullet"/>
      </w:pPr>
      <w:r>
        <w:t>**风险等级**: 高</w:t>
      </w:r>
    </w:p>
    <w:p>
      <w:pPr>
        <w:pStyle w:val="ListBullet"/>
      </w:pPr>
      <w:r>
        <w:t>**结论**: 合同存在多项必备条款缺失或不完整，特别是合同金额、生效条件、交付方式与地点、完成时限（里程碑节点）、合同变更机制等关键条款严重缺失；部分条款虽有涉及但内容不完整或不符合审查标准要求。</w:t>
      </w:r>
    </w:p>
    <w:p>
      <w:pPr>
        <w:pStyle w:val="ListBullet"/>
      </w:pPr>
      <w:r>
        <w:t>原文引用:</w:t>
      </w:r>
    </w:p>
    <w:p>
      <w:r>
        <w:t>&gt; 浙江农村商业联合银行股份有限公司</w:t>
      </w:r>
    </w:p>
    <w:p>
      <w:r>
        <w:t>&gt;</w:t>
      </w:r>
    </w:p>
    <w:p>
      <w:r>
        <w:t>&gt; 与</w:t>
      </w:r>
    </w:p>
    <w:p>
      <w:r>
        <w:t>&gt;</w:t>
      </w:r>
    </w:p>
    <w:p>
      <w:r>
        <w:t>&gt; 腾讯云计算(北京)有限责任公司</w:t>
      </w:r>
    </w:p>
    <w:p>
      <w:r>
        <w:t>&gt;</w:t>
      </w:r>
    </w:p>
    <w:p>
      <w:r>
        <w:t>&gt; 互联网类系统CDN加速服务项目(三年)采购合同</w:t>
      </w:r>
    </w:p>
    <w:p>
      <w:r>
        <w:t>&gt;</w:t>
      </w:r>
    </w:p>
    <w:p>
      <w:r>
        <w:t>&gt; 浙江农商联合银行合同号：HT-ZRUB-2025-07-01-08-C002</w:t>
      </w:r>
    </w:p>
    <w:p>
      <w:r>
        <w:t>&gt;</w:t>
      </w:r>
    </w:p>
    <w:p>
      <w:r>
        <w:t>&gt; 腾讯云合同号：</w:t>
      </w:r>
    </w:p>
    <w:p>
      <w:r>
        <w:t>&gt;</w:t>
      </w:r>
    </w:p>
    <w:p>
      <w:r>
        <w:t>&gt; 签订地点：杭州市</w:t>
      </w:r>
    </w:p>
    <w:p>
      <w:r>
        <w:t>&gt;</w:t>
      </w:r>
    </w:p>
    <w:p>
      <w:r>
        <w:t>&gt; 签订日期：2025年  月  日</w:t>
      </w:r>
    </w:p>
    <w:p>
      <w:pPr>
        <w:pStyle w:val="ListBullet"/>
      </w:pPr>
      <w:r>
        <w:t>**所在位置**: 合同首部信息</w:t>
      </w:r>
    </w:p>
    <w:p>
      <w:pPr>
        <w:pStyle w:val="ListBullet"/>
      </w:pPr>
      <w:r>
        <w:t>**问题分析**:</w:t>
      </w:r>
    </w:p>
    <w:p>
      <w:r>
        <w:t>1. **采购内容**：虽在附件一、附件二中有部分描述，但正文未明确列明具体品种、规格、型号、等级、花色等技术参数，且未在正文中明确引用附件并注明"构成本合同组成部分"</w:t>
      </w:r>
    </w:p>
    <w:p>
      <w:r>
        <w:t>2. **合同金额**：完全缺失！附件一中仅有计费方式和价格结构说明，但无具体数量、单价、总价、计量单位、币种等核心金额要素，也无大小写金额，更无总价与分项合计的核对</w:t>
      </w:r>
    </w:p>
    <w:p>
      <w:r>
        <w:t>3. **付款计划**：附件一第三条有部分付款安排，但未明确分期节点（预付款、到货款、初验款、终验款、质保金）、对应比例/金额、触发条件、支付时限，且未预留不低于5%质保金于免费维保期届满后支付</w:t>
      </w:r>
    </w:p>
    <w:p>
      <w:r>
        <w:t>4. **生效条件**：合同全文未规定合同生效条件（如双方签字盖章、特定审批通过等）</w:t>
      </w:r>
    </w:p>
    <w:p>
      <w:r>
        <w:t>5. **交付方式与地点**：完全缺失，未约定服务交付的具体方式、地点、时间等基本要素</w:t>
      </w:r>
    </w:p>
    <w:p>
      <w:r>
        <w:t>6. **完成时限（里程碑节点）**：附件二提到工作范围，但未明确具体的完成时限和里程碑节点</w:t>
      </w:r>
    </w:p>
    <w:p>
      <w:r>
        <w:t>7. **合同变更机制**：第十二条仅规定协议更新，但未明确合同变更的正式程序（需书面形式、双方签字盖章等），且第十二条第1款允许腾讯云单方面通过公告方式更新协议，违反平等协商原则</w:t>
      </w:r>
    </w:p>
    <w:p>
      <w:r>
        <w:t>8. **合同份数及效力**：附件一第四条提到"本协议一式【肆】份，双方各执【贰】份"，但主合同正文未体现，且未明确各份合同具有同等法律效力</w:t>
      </w:r>
    </w:p>
    <w:p>
      <w:r>
        <w:t>9. **电子送达效力约定**：第十一条有电子送达相关内容，但未明确约定电子送达与纸质送达具有同等法律效力，且未规定电子送达的具体效力认定标准</w:t>
      </w:r>
    </w:p>
    <w:p>
      <w:pPr>
        <w:pStyle w:val="ListBullet"/>
      </w:pPr>
      <w:r>
        <w:t>**法律依据**: 《中华人民共和国民法典》第四百七十条："合同的内容由当事人约定，一般包括下列条款：（一）当事人的姓名或者名称和住所；（二）标的；（三）数量；（四）质量；（五）价款或者报酬；（六）履行期限、地点和方式；（七）违约责任；（八）解决争议的方法。"</w:t>
      </w:r>
    </w:p>
    <w:p>
      <w:pPr>
        <w:pStyle w:val="ListBullet"/>
      </w:pPr>
      <w:r>
        <w:t>修改建议:</w:t>
      </w:r>
    </w:p>
    <w:p>
      <w:r>
        <w:t>&gt; "本合同自双方法定代表人或授权代理人签字并加盖单位公章或合同专用章之日起生效。"</w:t>
      </w:r>
    </w:p>
    <w:p>
      <w:r>
        <w:t>&gt;</w:t>
      </w:r>
    </w:p>
    <w:p>
      <w:r>
        <w:t>&gt; "本合同总金额为人民币（大写）______元整（¥______.00），包含以下分项：（1）CDN网站加速费用：______元；（2）对象存储费用：______元；（3）CDN APP内应用升级加速费用：______元。以上各项金额之和等于合同总金额，大小写金额一致。"</w:t>
      </w:r>
    </w:p>
    <w:p>
      <w:r>
        <w:t>&gt;</w:t>
      </w:r>
    </w:p>
    <w:p>
      <w:r>
        <w:t>&gt; "付款计划：（1）预付款：合同签订后5个工作日内，甲方向乙方支付合同总金额的20%作为预付款；（2）初验款：服务开通并初步验收合格后10个工作日内，支付合同总金额的30%；（3）终验款：全部服务完成并通过最终验收后15个工作日内，支付合同总金额的45%；（4）质保金：合同总金额的5%，于免费维保期（12个月）届满且无质量问题后15个工作日内支付。"</w:t>
      </w:r>
    </w:p>
    <w:p>
      <w:r>
        <w:t>&gt;</w:t>
      </w:r>
    </w:p>
    <w:p>
      <w:r>
        <w:t>&gt; "乙方应于2025年8月31日前完成全部服务交付，具体里程碑节点如下：（1）方案沟通与确认：2025年7月15日前；（2）域名拆分与配置：2025年8月10日前；（3）测试验证：2025年8月20日前；（4）正式切换上线：2025年8月31日前。"</w:t>
      </w:r>
    </w:p>
    <w:p>
      <w:r>
        <w:t>&gt;</w:t>
      </w:r>
    </w:p>
    <w:p>
      <w:r>
        <w:t>&gt; "本合同的任何修改、补充均须经双方协商一致，并签订书面补充协议，由双方法定代表人或授权代理人签字并加盖单位公章或合同专用章后方可生效。"</w:t>
      </w:r>
    </w:p>
    <w:p>
      <w:pPr>
        <w:pStyle w:val="Heading3"/>
      </w:pPr>
      <w:r>
        <w:t>检查要点：确认合同中已明确指定主要项目负责人，并完整记载其姓名、身份证号码及有效联系电话</w:t>
      </w:r>
    </w:p>
    <w:p>
      <w:pPr>
        <w:pStyle w:val="ListBullet"/>
      </w:pPr>
      <w:r>
        <w:t>**风险等级**: 高</w:t>
      </w:r>
    </w:p>
    <w:p>
      <w:pPr>
        <w:pStyle w:val="ListBullet"/>
      </w:pPr>
      <w:r>
        <w:t>**结论**: 合同中虽记载了联系人姓名和电话，但未明确指定"主要项目负责人"，且未记载身份证号码，不符合审查标准要求。</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 合同首部信息</w:t>
      </w:r>
    </w:p>
    <w:p>
      <w:pPr>
        <w:pStyle w:val="ListBullet"/>
      </w:pPr>
      <w:r>
        <w:t>**问题分析**: 合同中仅记载了"联系人"姓名和电话，但未明确该联系人即为"主要项目负责人"，也未记载身份证号码这一必备要素。根据审查标准，必须"完整记载其姓名、身份证号码及有效联系电话"，目前缺少身份证号码信息。</w:t>
      </w:r>
    </w:p>
    <w:p>
      <w:pPr>
        <w:pStyle w:val="ListBullet"/>
      </w:pPr>
      <w:r>
        <w:t>**法律依据**: 《中华人民共和国民法典》第五百零九条："当事人应当按照约定全面履行自己的义务。当事人应当遵循诚信原则，根据合同的性质、目的和交易习惯履行通知、协助、保密等义务。"</w:t>
      </w:r>
    </w:p>
    <w:p>
      <w:pPr>
        <w:pStyle w:val="ListBullet"/>
      </w:pPr>
      <w:r>
        <w:t>修改建议:</w:t>
      </w:r>
    </w:p>
    <w:p>
      <w:r>
        <w:t>&gt; "甲方指定项目负责人：裘竹青，身份证号码：________________，联系电话：0571-56929972"</w:t>
      </w:r>
    </w:p>
    <w:p>
      <w:r>
        <w:t>&gt;</w:t>
      </w:r>
    </w:p>
    <w:p>
      <w:r>
        <w:t>&gt; "乙方指定项目负责人：谭路，身份证号码：________________，联系电话：010-82173652"</w:t>
      </w:r>
    </w:p>
    <w:p>
      <w:pPr>
        <w:pStyle w:val="Heading3"/>
      </w:pPr>
      <w:r>
        <w:t>检查要点：采购内容须具体列明品种、规格、型号、等级、花色等技术参数；若内容复杂，应通过附件形式固化标的物现状、配置清单、技术协议等，且正文须引用该附件并注明‘构成本合同组成部分’</w:t>
      </w:r>
    </w:p>
    <w:p>
      <w:pPr>
        <w:pStyle w:val="ListBullet"/>
      </w:pPr>
      <w:r>
        <w:t>**风险等级**: 中</w:t>
      </w:r>
    </w:p>
    <w:p>
      <w:pPr>
        <w:pStyle w:val="ListBullet"/>
      </w:pPr>
      <w:r>
        <w:t>**结论**: 采购内容虽在附件中有一定描述，但正文未明确引用附件并注明"构成本合同组成部分"，且技术参数描述不够具体，缺乏品种、规格、型号、等级等详细技术指标。</w:t>
      </w:r>
    </w:p>
    <w:p>
      <w:pPr>
        <w:pStyle w:val="ListBullet"/>
      </w:pPr>
      <w:r>
        <w:t>原文引用:</w:t>
      </w:r>
    </w:p>
    <w:p>
      <w:r>
        <w:t>&gt; 附件一、合同内容清单</w:t>
      </w:r>
    </w:p>
    <w:p>
      <w:r>
        <w:t>&gt;</w:t>
      </w:r>
    </w:p>
    <w:p>
      <w:r>
        <w:t>&gt; 附件二、浙江农村商业联合银行互联网类系统CDN加速服务项目工作任务说明书</w:t>
      </w:r>
    </w:p>
    <w:p>
      <w:r>
        <w:t>&gt;</w:t>
      </w:r>
    </w:p>
    <w:p>
      <w:r>
        <w:t>&gt; 附件三、产品服务协议</w:t>
      </w:r>
    </w:p>
    <w:p>
      <w:r>
        <w:t>&gt;</w:t>
      </w:r>
    </w:p>
    <w:p>
      <w:r>
        <w:t>&gt; 附件四、浙江省农商银行系统信息化建设保密协议</w:t>
      </w:r>
    </w:p>
    <w:p>
      <w:r>
        <w:t>&gt;</w:t>
      </w:r>
    </w:p>
    <w:p>
      <w:r>
        <w:t>&gt; 附件五、供应商廉洁承诺书</w:t>
      </w:r>
    </w:p>
    <w:p>
      <w:r>
        <w:t>&gt;</w:t>
      </w:r>
    </w:p>
    <w:p>
      <w:r>
        <w:t>&gt; 附件六、购买/使用腾讯云境外服务附录</w:t>
      </w:r>
    </w:p>
    <w:p>
      <w:pPr>
        <w:pStyle w:val="ListBullet"/>
      </w:pPr>
      <w:r>
        <w:t>**所在位置**: 第十五条 附件</w:t>
      </w:r>
    </w:p>
    <w:p>
      <w:pPr>
        <w:pStyle w:val="ListBullet"/>
      </w:pPr>
      <w:r>
        <w:t>**问题分析**: 合同正文第十五条仅简单列出附件名称，但未明确说明"上述附件构成本合同组成部分"，也未在正文相关条款中引用附件内容。附件二虽有技术要求，但多为性能指标（如可用性99.9%），缺乏具体的产品规格、型号、配置清单等技术参数。附件一中关于CDN网站加速费用的描述过于笼统，未明确具体服务规格和技术参数。</w:t>
      </w:r>
    </w:p>
    <w:p>
      <w:pPr>
        <w:pStyle w:val="ListBullet"/>
      </w:pPr>
      <w:r>
        <w:t>**法律依据**: 《最高人民法院关于适用〈中华人民共和国民事诉讼法〉的解释》第一百一十六条："视听资料包括录音资料和影像资料。电子数据是指通过电子邮件、电子数据交换、网上聊天记录、博客、微博客、手机短信、电子签名、域名等形成或者存储在电子介质中的信息。存储在电子介质中的录音资料和影像资料，适用电子数据的规定。"</w:t>
      </w:r>
    </w:p>
    <w:p>
      <w:pPr>
        <w:pStyle w:val="ListBullet"/>
      </w:pPr>
      <w:r>
        <w:t>修改建议:</w:t>
      </w:r>
    </w:p>
    <w:p>
      <w:r>
        <w:t>&gt; "本合同附件一至附件六均为本合同不可分割的组成部分，与本合同正文具有同等法律效力。附件一所列产品和服务的具体规格、型号、配置清单、技术参数等详见附件二《浙江农村商业联合银行互联网类系统CDN加速服务项目工作任务说明书》，该附件构成本合同组成部分。"</w:t>
      </w:r>
    </w:p>
    <w:p>
      <w:pPr>
        <w:pStyle w:val="Heading3"/>
      </w:pPr>
      <w:r>
        <w:t>检查要点：合同金额须同时载明数量、单价、总价、计量单位、币种；大小写金额须完全一致；总价须与各分项合计严格吻合</w:t>
      </w:r>
    </w:p>
    <w:p>
      <w:pPr>
        <w:pStyle w:val="ListBullet"/>
      </w:pPr>
      <w:r>
        <w:t>**风险等级**: 高</w:t>
      </w:r>
    </w:p>
    <w:p>
      <w:pPr>
        <w:pStyle w:val="ListBullet"/>
      </w:pPr>
      <w:r>
        <w:t>**结论**: 合同金额条款完全缺失，未载明任何数量、单价、总价、计量单位、币种等基本要素，大小写金额也未体现，无法满足合同金额要素齐备的要求。</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 附件一、合同内容清单</w:t>
      </w:r>
    </w:p>
    <w:p>
      <w:pPr>
        <w:pStyle w:val="ListBullet"/>
      </w:pPr>
      <w:r>
        <w:t>**问题分析**: 附件一中仅有计费方式和价格结构说明，但未提供任何具体数值，未列明数量、单价、总价、计量单位、币种等核心金额要素。整个合同文本中没有任何地方出现具体金额数字，也无大小写金额，更无法验证总价与分项合计是否吻合。这种"框架式"计费方式不符合政府采购合同的规范要求。</w:t>
      </w:r>
    </w:p>
    <w:p>
      <w:pPr>
        <w:pStyle w:val="ListBullet"/>
      </w:pPr>
      <w:r>
        <w:t>**法律依据**: 《政府采购法》第四十六条："采购人与中标、成交供应商应当在中标、成交通知书发出之日起三十日内，按照采购文件确定的事项签订政府采购合同。政府采购合同应当包括采购人与供应商的名称和住所、标的、数量、质量、价款或者报酬、履行期限及地点和方式、验收要求、违约责任、解决争议的方法等条款。"</w:t>
      </w:r>
    </w:p>
    <w:p>
      <w:pPr>
        <w:pStyle w:val="ListBullet"/>
      </w:pPr>
      <w:r>
        <w:t>修改建议:</w:t>
      </w:r>
    </w:p>
    <w:p>
      <w:r>
        <w:t>&gt; "本合同总金额为人民币（大写）壹仟贰佰叁拾肆万伍仟陆佰柒拾捌元整（¥12,345,678.00），具体构成如下：（1）CDN网站加速费用：人民币（大写）柒佰捌拾玖万元整（¥7,890,000.00）；（2）对象存储费用：人民币（大写）贰佰叁拾肆万元整（¥2,340,000.00）；（3）CDN APP内应用升级加速费用：人民币（大写）贰佰壹拾壹万伍仟陆佰柒拾捌元整（¥2,115,678.00）。以上各项金额之和等于合同总金额，大小写金额一致。"</w:t>
      </w:r>
    </w:p>
    <w:p>
      <w:pPr>
        <w:pStyle w:val="Heading3"/>
      </w:pPr>
      <w:r>
        <w:t>检查要点：付款计划须明确分期节点（如预付款、到货款、初验款、终验款、质保金）、对应比例/金额、触发条件（如签收单、验收报告、发票开具）、支付时限（注明自然日/工作日），并预留不低于5%质保金于免费维保期届满后支付；须明确要求提供合规发票类型（如增值税专用发票）</w:t>
      </w:r>
    </w:p>
    <w:p>
      <w:pPr>
        <w:pStyle w:val="ListBullet"/>
      </w:pPr>
      <w:r>
        <w:t>**风险等级**: 中</w:t>
      </w:r>
    </w:p>
    <w:p>
      <w:pPr>
        <w:pStyle w:val="ListBullet"/>
      </w:pPr>
      <w:r>
        <w:t>**结论**: 付款计划虽在附件一中有部分描述，但内容不完整，未明确分期节点名称、对应比例/金额、触发条件，质保金比例和支付条件不明确，且未明确规定必须提供增值税专用发票。</w:t>
      </w:r>
    </w:p>
    <w:p>
      <w:pPr>
        <w:pStyle w:val="ListBullet"/>
      </w:pPr>
      <w:r>
        <w:t>原文引用:</w:t>
      </w:r>
    </w:p>
    <w:p>
      <w:r>
        <w:t>&gt; 附件一</w:t>
      </w:r>
    </w:p>
    <w:p>
      <w:r>
        <w:t>&gt;</w:t>
      </w:r>
    </w:p>
    <w:p>
      <w:r>
        <w:t>&gt; 三、商务要求</w:t>
      </w:r>
    </w:p>
    <w:p>
      <w:r>
        <w:t>&gt;</w:t>
      </w:r>
    </w:p>
    <w:p>
      <w:r>
        <w:t>&gt; 在服务期内，乙方按甲方需求免费提供CDN服务配置、迁移，并有能力提供服务期内的技术支持。</w:t>
      </w:r>
    </w:p>
    <w:p>
      <w:r>
        <w:t>&gt;</w:t>
      </w:r>
    </w:p>
    <w:p>
      <w:r>
        <w:t>&gt; 根据甲方要求，乙方实施合同规定的服务，由甲方对服务实施情况进行验收，经甲方确认合格后，按实际经双方核实的缴费账单，计算得出相应服务费用，并按服务规则确定的付款期限内支付费用支付款项，具体如下，其中甲方指浙江农村商业联合银行股份有限公司，乙方指腾讯云计算（北京）有限责任公司。</w:t>
      </w:r>
    </w:p>
    <w:p>
      <w:r>
        <w:t>&gt;</w:t>
      </w:r>
    </w:p>
    <w:p>
      <w:r>
        <w:t>&gt; 1.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w:t>
      </w:r>
    </w:p>
    <w:p>
      <w:r>
        <w:t>&gt; 2.甲方后付费的，根据合同约定甲方在该服务的服务规则确定的付款期限内支付费用。服务规则未明确付款期限的，甲方应每个月自确认账单并收到发票之日起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&gt;</w:t>
      </w:r>
    </w:p>
    <w:p>
      <w:r>
        <w:t>&gt; 3.CDN APP内应用升级加速费用每年根据预估下载量支付相对应的流量包费用，如当年实际使用超过流量包大小，则根据实际使用情况追加支付补充流量包费用。</w:t>
      </w:r>
    </w:p>
    <w:p>
      <w:r>
        <w:t>&gt;</w:t>
      </w:r>
    </w:p>
    <w:p>
      <w:r>
        <w:t>&gt; 4.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r>
        <w:t>&gt;</w:t>
      </w:r>
    </w:p>
    <w:p>
      <w:r>
        <w:t>&gt; 5.乙方账户如有变更，应提前15个工作日以正式书面形式通知甲方新的付款信息。由于谈判未及时通知此项变更而造成延期付款等的一切后果，甲方不承担任何责任。</w:t>
      </w:r>
    </w:p>
    <w:p>
      <w:pPr>
        <w:pStyle w:val="ListBullet"/>
      </w:pPr>
      <w:r>
        <w:t>**所在位置**: 附件一、商务要求</w:t>
      </w:r>
    </w:p>
    <w:p>
      <w:pPr>
        <w:pStyle w:val="ListBullet"/>
      </w:pPr>
      <w:r>
        <w:t>**问题分析**:</w:t>
      </w:r>
    </w:p>
    <w:p>
      <w:r>
        <w:t>1. 未明确分期节点名称（预付款、初验款、终验款、质保金等）</w:t>
      </w:r>
    </w:p>
    <w:p>
      <w:r>
        <w:t>2. 未规定各期付款的比例或具体金额</w:t>
      </w:r>
    </w:p>
    <w:p>
      <w:r>
        <w:t>3. 触发条件仅提及"确认账单并收到发票"，未明确验收报告、签收单等关键凭证</w:t>
      </w:r>
    </w:p>
    <w:p>
      <w:r>
        <w:t>4. 质保金比例未明确，未规定"不低于5%"且"于免费维保期届满后支付"</w:t>
      </w:r>
    </w:p>
    <w:p>
      <w:r>
        <w:t>5. 虽提到"增值税专用发票"，但未强调必须是"合规"的增值税专用发票，也未规定发票开具的具体时限</w:t>
      </w:r>
    </w:p>
    <w:p>
      <w:r>
        <w:t>6. 支付时限未明确区分自然日和工作日，仅笼统说"30个工作日内"</w:t>
      </w:r>
    </w:p>
    <w:p>
      <w:pPr>
        <w:pStyle w:val="ListBullet"/>
      </w:pPr>
      <w:r>
        <w:t>**法律依据**: 《财政部关于印发&lt;政府采购货物和服务招标投标管理办法&gt;的通知》第七十一条："采购人、采购代理机构有下列情形之一的，责令限期改正，给予警告，可以并处罚款，对直接负责的主管人员和其他直接责任人员，由其行政主管部门或者有关机关给予处分，并予通报：...（三）未按照招标文件规定的时间、程序和方法确定中标候选人..."</w:t>
      </w:r>
    </w:p>
    <w:p>
      <w:pPr>
        <w:pStyle w:val="ListBullet"/>
      </w:pPr>
      <w:r>
        <w:t>修改建议:</w:t>
      </w:r>
    </w:p>
    <w:p>
      <w:r>
        <w:t>&gt; "付款计划：（1）预付款：合同签订后5个工作日内，甲方向乙方支付合同总金额的20%作为预付款；（2）初验款：服务开通并初步验收合格后10个工作日内，支付合同总金额的30%；（3）终验款：全部服务完成并通过最终验收后15个工作日内，支付合同总金额的45%；（4）质保金：合同总金额的5%，于免费维保期（12个月）届满且无质量问题后15个工作日内支付。每次付款前，乙方须向甲方提供符合国家税务规定的等额增值税专用发票，甲方在收到合规发票并核实无误后，在约定工作日内完成支付。"</w:t>
      </w:r>
    </w:p>
    <w:p>
      <w:r>
        <w:t>---</w:t>
      </w:r>
    </w:p>
    <w:p>
      <w:pPr>
        <w:pStyle w:val="Heading3"/>
      </w:pPr>
      <w:r>
        <w:t>（3）确保期限约定精确、无歧义，时间计算规则明确可执行</w:t>
      </w:r>
    </w:p>
    <w:p>
      <w:pPr>
        <w:pStyle w:val="Heading3"/>
      </w:pPr>
      <w:r>
        <w:t>检查要点：合同期限须以起止日期或明确时长（如‘自2025年1月1日起至2026年12月31日止’）方式载明，禁止使用‘长期’‘永久’等模糊表述</w:t>
      </w:r>
    </w:p>
    <w:p>
      <w:pPr>
        <w:pStyle w:val="ListBullet"/>
      </w:pPr>
      <w:r>
        <w:t>**风险等级**: 低</w:t>
      </w:r>
    </w:p>
    <w:p>
      <w:pPr>
        <w:pStyle w:val="ListBullet"/>
      </w:pPr>
      <w:r>
        <w:t>**结论**: 合同期限已明确以起止日期方式载明，符合审查标准，无模糊表述。</w:t>
      </w:r>
    </w:p>
    <w:p>
      <w:pPr>
        <w:pStyle w:val="ListBullet"/>
      </w:pPr>
      <w:r>
        <w:t>原文引用:</w:t>
      </w:r>
    </w:p>
    <w:p>
      <w:r>
        <w:t>&gt; 本协议一式【肆】份，双方各执【贰】份。期限自【2025】年【9】月【1】日起至【2028】年【8】月【31】日止。</w:t>
      </w:r>
    </w:p>
    <w:p>
      <w:pPr>
        <w:pStyle w:val="ListBullet"/>
      </w:pPr>
      <w:r>
        <w:t>**所在位置**: 附件一“四、协议期限”首句</w:t>
      </w:r>
    </w:p>
    <w:p>
      <w:pPr>
        <w:pStyle w:val="ListBullet"/>
      </w:pPr>
      <w:r>
        <w:t>**问题分析**: 无问题。起止日期完整、具体（年、月、日齐备），且为封闭区间，可精确计算总时长（整36个月），不依赖解释性语言，亦未出现“长期”“永久”“ indefinitely”等禁止性模糊用语。</w:t>
      </w:r>
    </w:p>
    <w:p>
      <w:pPr>
        <w:pStyle w:val="ListBullet"/>
      </w:pPr>
      <w:r>
        <w:t>**法律依据**: 《民法典》第一百四十二条：“有相对人的意思表示的解释，应当按照所使用的词句……确定意思表示的含义。”；第五百零九条：“当事人应当按照约定全面履行自己的义务。”——期限约定需具备可执行性，起止日明确是履行前提。</w:t>
      </w:r>
    </w:p>
    <w:p>
      <w:pPr>
        <w:pStyle w:val="ListBullet"/>
      </w:pPr>
      <w:r>
        <w:t>修改建议:</w:t>
      </w:r>
    </w:p>
    <w:p>
      <w:r>
        <w:t>&gt; 无需修改。</w:t>
      </w:r>
    </w:p>
    <w:p>
      <w:r>
        <w:t>---</w:t>
      </w:r>
    </w:p>
    <w:p>
      <w:pPr>
        <w:pStyle w:val="Heading3"/>
      </w:pPr>
      <w:r>
        <w:t>检查要点：所有时间节点（如交付日、验收日、付款日、维保期起算日）均须明确定义计算基准（如‘自合同生效之日起X个自然日’‘自货物签收次日起X个工作日’），并统一注明‘自然日’或‘工作日’</w:t>
      </w:r>
    </w:p>
    <w:p>
      <w:pPr>
        <w:pStyle w:val="ListBullet"/>
      </w:pPr>
      <w:r>
        <w:t>**风险等级**: 中</w:t>
      </w:r>
    </w:p>
    <w:p>
      <w:pPr>
        <w:pStyle w:val="ListBullet"/>
      </w:pPr>
      <w:r>
        <w:t>**结论**: 多处关键时间节点缺乏统一、明确的计算基准定义，存在歧义风险；部分条款虽注明“自然日”，但未与起算事件建立清晰因果关系，亦未对“次日”“收到后”等易生争议的表述作法律化界定。</w:t>
      </w:r>
    </w:p>
    <w:p>
      <w:pPr>
        <w:pStyle w:val="ListBullet"/>
      </w:pPr>
      <w:r>
        <w:t>原文引用:</w:t>
      </w:r>
    </w:p>
    <w:p>
      <w:r>
        <w:t>&gt; 甲方在前述期限内没有提出异议，则视为甲方已确认账单。</w:t>
      </w:r>
    </w:p>
    <w:p>
      <w:r>
        <w:t>&gt;</w:t>
      </w:r>
    </w:p>
    <w:p>
      <w:r>
        <w:t>&gt; 甲方应每个月自确认账单并收到发票之日起 30个工作日内向乙方付款。</w:t>
      </w:r>
    </w:p>
    <w:p>
      <w:r>
        <w:t>&gt;</w:t>
      </w:r>
    </w:p>
    <w:p>
      <w:r>
        <w:t>&gt; 如甲方对账单有异议的，应在收到账单后5个工作日内向乙方提出；</w:t>
      </w:r>
    </w:p>
    <w:p>
      <w:r>
        <w:t>&gt;</w:t>
      </w:r>
    </w:p>
    <w:p>
      <w:r>
        <w:t>&gt; 服务开通日期以甲方系统记录时间为准。计费开始日期指甲方应当依约向乙方支付服务费的起算时间。服务开通日期原则上与计费开始日期一致，双方另行约定的除外。</w:t>
      </w:r>
    </w:p>
    <w:p>
      <w:r>
        <w:t>&gt;</w:t>
      </w:r>
    </w:p>
    <w:p>
      <w:r>
        <w:t>&gt; 乙方将依据《腾讯云服务协议》（以下简称“主协议”）首页所列联系方式，以挂号信函或传真或电子邮件任一方式将《服务开通确认书》通知至甲方。甲方需盖章或通过电子邮件确认后，回传给乙方。如在乙方通知之日起三个工作日内，甲方亦未提出异议，则视为双方确认服务已按乙方通知之服务开通日起正式开通。</w:t>
      </w:r>
    </w:p>
    <w:p>
      <w:pPr>
        <w:pStyle w:val="ListBullet"/>
      </w:pPr>
      <w:r>
        <w:t>**所在位置**: 附件一“三、商务要求”第1、2、4、6款；附件三“第三条 加速区域及范围等服务内容”第3款</w:t>
      </w:r>
    </w:p>
    <w:p>
      <w:pPr>
        <w:pStyle w:val="ListBullet"/>
      </w:pPr>
      <w:r>
        <w:t>**问题分析**:</w:t>
      </w:r>
    </w:p>
    <w:p>
      <w:r>
        <w:t>1. **“收到账单后5个工作日内”“收到发票之日起30个工作日内”**：虽注明“工作日”，但未定义“收到”的法律认定标准（如电子邮件以发送成功为准？还是甲方系统实际接收时间？是否需甲方主动查阅？）。根据《民法典》第一百三十七条，以非对话方式作出的意思表示，到达相对人时生效；但“收到”在电子送达场景下易引发争议（参见《最高人民法院关于互联网法院审理案件若干问题的规定》第十一条）。</w:t>
      </w:r>
    </w:p>
    <w:p>
      <w:r>
        <w:t>2. **“确认账单并收到发票之日”**：逻辑矛盾。“确认账单”是甲方主动行为，“收到发票”是被动接收，二者并列作为同一付款起算点，但实践中可能不同步（如先收账单后收发票），导致起算日不确定。</w:t>
      </w:r>
    </w:p>
    <w:p>
      <w:r>
        <w:t>3. **“服务开通日期以甲方系统记录时间为准” vs “服务开通日期以乙方系统记录时间为准”**：附件一第6款与附件三第3款存在冲突——前者称“甲方系统记录”，后者称“乙方系统记录”，未约定以哪一方为准，亦未设置校准机制，将直接导致计费起算日争议。</w:t>
      </w:r>
    </w:p>
    <w:p>
      <w:r>
        <w:t>4. **“通知之日起三个工作日内”未明确通知方式效力优先级**：挂号信、传真、电子邮件三者并列，但未约定若多渠道同步发送，以最早送达为准，还是以特定方式（如挂号信）为准，违反《电子签名法》第五条关于数据电文“到达”的认定规则。</w:t>
      </w:r>
    </w:p>
    <w:p>
      <w:pPr>
        <w:pStyle w:val="ListBullet"/>
      </w:pPr>
      <w:r>
        <w:t>**法律依据**:</w:t>
      </w:r>
    </w:p>
    <w:p>
      <w:pPr>
        <w:pStyle w:val="ListBullet"/>
      </w:pPr>
      <w:r>
        <w:t>《民法典》第一百三十七条：“以非对话方式作出的意思表示，到达相对人时生效。”</w:t>
      </w:r>
    </w:p>
    <w:p>
      <w:pPr>
        <w:pStyle w:val="ListBullet"/>
      </w:pPr>
      <w:r>
        <w:t>《电子签名法》第五条：“符合下列条件的数据电文，视为满足法律、法规规定的原件形式要求：（一）能够有效地表现所载内容并可供随时调取查用；（二）能够可靠地保证自最终形成时起，内容保持完整、未被更改。”</w:t>
      </w:r>
    </w:p>
    <w:p>
      <w:pPr>
        <w:pStyle w:val="ListBullet"/>
      </w:pPr>
      <w:r>
        <w:t>《最高人民法院关于适用〈中华人民共和国民事诉讼法〉的解释》第一百二十八条：“电子数据的内容经公证机关公证的，人民法院应当确认其真实性，但有相反证据足以推翻的除外。”——凸显电子送达需配套存证机制。</w:t>
      </w:r>
    </w:p>
    <w:p>
      <w:pPr>
        <w:pStyle w:val="ListBullet"/>
      </w:pPr>
      <w:r>
        <w:t>修改建议:</w:t>
      </w:r>
    </w:p>
    <w:p>
      <w:r>
        <w:t>&gt; 甲方对账单有异议的，应自乙方通过本协议第十一条约定的任一有效送达方式向甲方发送账单之日（以最早送达时间为准）起5个工作日内，以书面形式（含电子邮件）向乙方提出；逾期未提出的，视为甲方无异议并确认该账单。</w:t>
      </w:r>
    </w:p>
    <w:p>
      <w:r>
        <w:t>&gt;</w:t>
      </w:r>
    </w:p>
    <w:p>
      <w:r>
        <w:t>&gt; 甲方应于每月确认账单且乙方开具并有效送达增值税专用发票之日（以二者中较晚者为准）起30个工作日内，向乙方支付当期服务费用。</w:t>
      </w:r>
    </w:p>
    <w:p>
      <w:r>
        <w:t>&gt;</w:t>
      </w:r>
    </w:p>
    <w:p>
      <w:r>
        <w:t>&gt; 服务开通日期及计费开始日期均以乙方系统记录时间为准；若甲方对乙方系统记录时间有异议，应于收到《服务开通确认书》后2个工作日内提出书面异议并提供甲方系统日志等有效证据，双方应在5个工作日内完成核验；核验不成的，以乙方系统记录时间为准。</w:t>
      </w:r>
    </w:p>
    <w:p>
      <w:r>
        <w:t>&gt;</w:t>
      </w:r>
    </w:p>
    <w:p>
      <w:r>
        <w:t>&gt; 乙方依本协议第十一条向甲方发送《服务开通确认书》的，以挂号信寄出之日、电子邮件发送成功之日、或传真发送成功之日中最早者为通知到达日；若采用多种方式同时发送，以最先到达时间为准。</w:t>
      </w:r>
    </w:p>
    <w:p>
      <w:r>
        <w:t>---</w:t>
      </w:r>
    </w:p>
    <w:p>
      <w:pPr>
        <w:pStyle w:val="Heading3"/>
      </w:pPr>
      <w:r>
        <w:t>检查要点：季度、年度等周期性期限须明确起算逻辑（如‘首期为2025年1月1日至2025年3月31日’或‘自起始日起每满三个月为一个季度’），避免‘第三个月末’等易生歧义表述</w:t>
      </w:r>
    </w:p>
    <w:p>
      <w:pPr>
        <w:pStyle w:val="ListBullet"/>
      </w:pPr>
      <w:r>
        <w:t>**风险等级**: 中</w:t>
      </w:r>
    </w:p>
    <w:p>
      <w:pPr>
        <w:pStyle w:val="ListBullet"/>
      </w:pPr>
      <w:r>
        <w:t>**结论**: 合同中涉及“自然月”“每月”“月度”等周期性表述，但未明确定义其起算逻辑及边界，尤其未澄清“自然月”是否严格对应公历月（如2月28/29日是否影响统计完整性），亦未说明跨周期结算（如服务开通日在月中）的处理规则，构成周期性期限约定不严谨。</w:t>
      </w:r>
    </w:p>
    <w:p>
      <w:pPr>
        <w:pStyle w:val="ListBullet"/>
      </w:pPr>
      <w:r>
        <w:t>原文引用:</w:t>
      </w:r>
    </w:p>
    <w:p>
      <w:r>
        <w:t>&gt; 以自然月为统计周期，实现回源带宽相对于用户访问总带宽占比小于等于15%。</w:t>
      </w:r>
    </w:p>
    <w:p>
      <w:r>
        <w:t>&gt;</w:t>
      </w:r>
    </w:p>
    <w:p>
      <w:r>
        <w:t>&gt; 以自然月为统计周期，实现回源流量相对于用户请求总流量占比小于等于15%。</w:t>
      </w:r>
    </w:p>
    <w:p>
      <w:r>
        <w:t>&gt;</w:t>
      </w:r>
    </w:p>
    <w:p>
      <w:r>
        <w:t>&gt; 服务月度的服务可用性低于99.9%但等于或高于99%的，赔偿月度服务费的10%；</w:t>
      </w:r>
    </w:p>
    <w:p>
      <w:r>
        <w:t>&gt;</w:t>
      </w:r>
    </w:p>
    <w:p>
      <w:r>
        <w:t>&gt; CDN 每日带宽统计点共288个，从当月1号起，每一个有效日（产生消耗）的所有统计点进行排序，去掉前5%的统计点，剩下的最大的统计点，即为计费带宽……</w:t>
      </w:r>
    </w:p>
    <w:p>
      <w:pPr>
        <w:pStyle w:val="ListBullet"/>
      </w:pPr>
      <w:r>
        <w:t>**所在位置**: 附件二“二、工作目标”第1、2条；附件二“四、服务可用性保证”第6条；附件一“一.产品优惠报价”第（1）款</w:t>
      </w:r>
    </w:p>
    <w:p>
      <w:pPr>
        <w:pStyle w:val="ListBullet"/>
      </w:pPr>
      <w:r>
        <w:t>**问题分析**:</w:t>
      </w:r>
    </w:p>
    <w:p>
      <w:r>
        <w:t>1. **“自然月”未定义**：虽行业惯例指公历月，但合同未明示“自然月=公历 calendar month”，未排除农历或财务月等解释空间；且未说明若服务开通日非1日（如9月15日开通），首月统计周期是9月15–30日，还是仍按9月1–30日完整统计？附件一计费规则写“从当月1号起”，暗示按整月统计，但与附件二“服务开通日期”条款冲突（服务开通日可能非1日）。</w:t>
      </w:r>
    </w:p>
    <w:p>
      <w:r>
        <w:t>2. **“月度服务费”“月度服务可用性”未绑定具体统计区间**：赔偿条款中“月度服务费”指向不明——是按合同约定月费总额，还是按当月实际计费带宽折算？若首月仅开通15天，是否按半月计赔？合同未约定。</w:t>
      </w:r>
    </w:p>
    <w:p>
      <w:r>
        <w:t>3. **“当月1号起”与“有效日”逻辑断裂**：“从当月1号起”是起算指令，但“有效日（产生消耗）”未定义何为“有效”（是否含0流量日？系统故障日是否剔除？），导致统计样本集不确定，直接影响“去掉前5%统计点”的基数合法性。</w:t>
      </w:r>
    </w:p>
    <w:p>
      <w:pPr>
        <w:pStyle w:val="ListBullet"/>
      </w:pPr>
      <w:r>
        <w:t>**法律依据**:</w:t>
      </w:r>
    </w:p>
    <w:p>
      <w:pPr>
        <w:pStyle w:val="ListBullet"/>
      </w:pPr>
      <w:r>
        <w:t>《民法典》第五百一十条：“当事人就有关合同内容约定不明确，依据前条规定仍不能确定的，适用下列规定：……（四）履行期限不明确的，债务人可以随时履行，债权人也可以随时请求履行，但是应当给对方必要的准备时间。”——周期不明将触发任意履行权，破坏商业确定性。</w:t>
      </w:r>
    </w:p>
    <w:p>
      <w:pPr>
        <w:pStyle w:val="ListBullet"/>
      </w:pPr>
      <w:r>
        <w:t>《GB/T 19000-2016 质量管理体系 基础和术语》3.8.11：“周期：在规定条件下，重复发生的时间间隔。”——强调“规定条件”必须明示。</w:t>
      </w:r>
    </w:p>
    <w:p>
      <w:pPr>
        <w:pStyle w:val="ListBullet"/>
      </w:pPr>
      <w:r>
        <w:t>修改建议:</w:t>
      </w:r>
    </w:p>
    <w:p>
      <w:r>
        <w:t>&gt; “自然月”指公历日历月，即自每月1日00:00:00至当月最后一日23:59:59的时间区间。首期统计周期自服务开通日（以乙方系统记录时间为准）起算，至开通日后第一个自然月的最后一日止；此后每个统计周期均为完整自然月。</w:t>
      </w:r>
    </w:p>
    <w:p>
      <w:r>
        <w:t>&gt;</w:t>
      </w:r>
    </w:p>
    <w:p>
      <w:r>
        <w:t>&gt; “有效日”指当日CDN服务处于正常开通状态且甲方产生可计量流量消耗的自然日；若当日因乙方原因导致服务不可用时间超过15分钟，或甲方流量消耗为零，则该日不计入“有效日”统计基数。</w:t>
      </w:r>
    </w:p>
    <w:p>
      <w:r>
        <w:t>&gt;</w:t>
      </w:r>
    </w:p>
    <w:p>
      <w:r>
        <w:t>&gt; “月度服务费”指当期统计周期内，依据本附件一计费规则核算的实际应付服务费用；“月度服务可用性”赔偿以该实际应付服务费为基数计算。</w:t>
      </w:r>
    </w:p>
    <w:p>
      <w:r>
        <w:t>---</w:t>
      </w:r>
    </w:p>
    <w:p>
      <w:pPr>
        <w:pStyle w:val="Heading3"/>
      </w:pPr>
      <w:r>
        <w:t>（4）保障合同文本严谨、准确、内外统一、符合法律文书基本要求</w:t>
      </w:r>
    </w:p>
    <w:p>
      <w:r>
        <w:t>我们依据审查标准，对提供的合同内容逐项进行严谨、系统性审查。以下为各检查要点的审查结果：</w:t>
      </w:r>
    </w:p>
    <w:p>
      <w:r>
        <w:t>---</w:t>
      </w:r>
    </w:p>
    <w:p>
      <w:pPr>
        <w:pStyle w:val="Heading3"/>
      </w:pPr>
      <w:r>
        <w:t>检查要点：全文通读校对：排查错别字、标点误用、语序混乱、主谓不一致、成分残缺等语病；核查标题层级是否符合‘一、（一）1.（1）’规范体例，顺序是否逻辑连贯</w:t>
      </w:r>
    </w:p>
    <w:p>
      <w:pPr>
        <w:pStyle w:val="ListBullet"/>
      </w:pPr>
      <w:r>
        <w:t>**风险等级**: 中</w:t>
      </w:r>
    </w:p>
    <w:p>
      <w:pPr>
        <w:pStyle w:val="ListBullet"/>
      </w:pPr>
      <w:r>
        <w:t>**结论**: 合同存在多处体例不统一、标点误用、语序不当及层级混乱问题；附件标题编号体系严重失范，与正文条款编号逻辑脱节，不符合法律文书“一、（一）1.（1）”的规范层级要求；部分段落存在成分残缺、主谓搭配不当等语法瑕疵。</w:t>
      </w:r>
    </w:p>
    <w:p>
      <w:pPr>
        <w:pStyle w:val="ListBullet"/>
      </w:pPr>
      <w:r>
        <w:t>原文引用:</w:t>
      </w:r>
    </w:p>
    <w:p>
      <w:r>
        <w:t>&gt; 附件一</w:t>
      </w:r>
    </w:p>
    <w:p>
      <w:r>
        <w:t>&gt; 合同内容清单</w:t>
      </w:r>
    </w:p>
    <w:p>
      <w:r>
        <w:t>&gt;</w:t>
      </w:r>
    </w:p>
    <w:p>
      <w:r>
        <w:t>&gt; 一.产品优惠报价</w:t>
      </w:r>
    </w:p>
    <w:p>
      <w:r>
        <w:t>&gt; （1）CDN网站加速费用</w:t>
      </w:r>
    </w:p>
    <w:p>
      <w:r>
        <w:t>&gt;</w:t>
      </w:r>
    </w:p>
    <w:p>
      <w:r>
        <w:t>&gt; 计费方式-带宽月结：</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 对象存储用于存放APP升级包使用。该部分费用分为三部分：标准存储容量包，CDN回源流量包，标准存储读写请求。价格如下：</w:t>
      </w:r>
    </w:p>
    <w:p>
      <w:r>
        <w:t>&gt;</w:t>
      </w:r>
    </w:p>
    <w:p>
      <w:r>
        <w:t>&gt; （3）CDN APP内应用升级加速费用</w:t>
      </w:r>
    </w:p>
    <w:p>
      <w:r>
        <w:t>&gt; 用于丰收互联APP内部更新、内应用升级，使用流量包方式一次性购买。</w:t>
      </w:r>
    </w:p>
    <w:p>
      <w:r>
        <w:t>&gt; CDN境内流量包定价：</w:t>
      </w:r>
    </w:p>
    <w:p>
      <w:r>
        <w:t>&gt;</w:t>
      </w:r>
    </w:p>
    <w:p>
      <w:r>
        <w:t>&gt; 二、验收要求</w:t>
      </w:r>
    </w:p>
    <w:p>
      <w:r>
        <w:t>&gt; 1.CDN加速后，全国范围内用户访问甲方互联网类系统可用性不低于99%。</w:t>
      </w:r>
    </w:p>
    <w:p>
      <w:r>
        <w:t>&gt; 2.互联网类系统静态文件的回源流量对比经CDN加速前降低至少50%以上。</w:t>
      </w:r>
    </w:p>
    <w:p>
      <w:r>
        <w:t>&gt; 3.支持自定义缓存规则，比如不同类型的文件缓存在不同的时间段。</w:t>
      </w:r>
    </w:p>
    <w:p>
      <w:r>
        <w:t>&gt; 4.支持除80、8080、443之外的特殊端口开通，并支持用户侧访问端口和回源端口不一致的配置。</w:t>
      </w:r>
    </w:p>
    <w:p>
      <w:r>
        <w:t>&gt; 5.支持源站不做任何改动，源站不提供证书和私钥的全链路https方案，提供泛域名证书支持招标单位多个域名接入的需求。</w:t>
      </w:r>
    </w:p>
    <w:p>
      <w:r>
        <w:t>&gt;</w:t>
      </w:r>
    </w:p>
    <w:p>
      <w:r>
        <w:t>&gt; 三、商务要求</w:t>
      </w:r>
    </w:p>
    <w:p>
      <w:r>
        <w:t>&gt; 在服务期内，乙方按甲方需求免费提供CDN服务配置、迁移，并有能力提供服务期内的技术支持。</w:t>
      </w:r>
    </w:p>
    <w:p>
      <w:r>
        <w:t>&gt; 根据甲方要求，乙方实施合同规定的服务，由甲方对服务实施情况进行验收，经甲方确认合格后，按实际经双方核实的缴费账单，计算得出相应服务费用，并按服务规则确定的付款期限内支付费用支付款项，具体如下，其中甲方指浙江农村商业联合银行股份有限公司，乙方指腾讯云计算（北京）有限责任公司。</w:t>
      </w:r>
    </w:p>
    <w:p>
      <w:r>
        <w:t>&gt; 1.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 2.甲方后付费的，根据合同约定甲方在该服务的服务规则确定的付款期限内支付费用。服务规则未明确付款期限的，甲方应每个月自确认账单并收到发票之日起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&gt; 3.CDN APP内应用升级加速费用每年根据预估下载量支付相对应的流量包费用，如当年实际使用超过流量包大小，则根据实际使用情况追加支付补充流量包费用。</w:t>
      </w:r>
    </w:p>
    <w:p>
      <w:r>
        <w:t>&gt; 4.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r>
        <w:t>&gt; 5.乙方账户如有变更，应提前15个工作日以正式书面形式通知甲方新的付款信息。由于谈判未及时通知此项变更而造成延期付款等的一切后果，甲方不承担任何责任。</w:t>
      </w:r>
    </w:p>
    <w:p>
      <w:r>
        <w:t>&gt; 6.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r>
        <w:t>&gt; 7.腾讯云收款账户如下，</w:t>
      </w:r>
    </w:p>
    <w:p>
      <w:r>
        <w:t>&gt; 户  名：腾讯云计算（北京）有限责任公司</w:t>
      </w:r>
    </w:p>
    <w:p>
      <w:r>
        <w:t>&gt; 银行账号：110907316810601</w:t>
      </w:r>
    </w:p>
    <w:p>
      <w:r>
        <w:t>&gt; 开户行： 招商银行北京分行上地支行</w:t>
      </w:r>
    </w:p>
    <w:p>
      <w:r>
        <w:t>&gt; 汇款备注：浙江农商联合银行CDN服务费+UIN100012773012</w:t>
      </w:r>
    </w:p>
    <w:p>
      <w:r>
        <w:t>&gt;</w:t>
      </w:r>
    </w:p>
    <w:p>
      <w:r>
        <w:t>&gt; 四、协议期限</w:t>
      </w:r>
    </w:p>
    <w:p>
      <w:r>
        <w:t>&gt; 本协议一式【肆】份，双方各执【贰】份。期限自【2025】年【9】月【1】日起至【2028】年【8】月【31】日止。本协议期限届满后，甲方继续使用腾讯云服务的，双方应重新签约或以补充协议方式延长本协议期限；如果双方未重新签约或延长协议期限而甲方仍持续使用腾讯云服务的，将自动适用腾讯云官方网站在线的《腾讯云服务协议》。同时，腾讯云有权取消甲方所享优惠，双方恢复为腾讯云刊例价结算。</w:t>
      </w:r>
    </w:p>
    <w:p>
      <w:pPr>
        <w:pStyle w:val="ListBullet"/>
      </w:pPr>
      <w:r>
        <w:t>**所在位置**: 附件一全文（含“一.”“（1）”“1.”“四、”等混杂编号）、附件二、附件三等全部附件及正文第十四条、第十五条</w:t>
      </w:r>
    </w:p>
    <w:p>
      <w:pPr>
        <w:pStyle w:val="ListBullet"/>
      </w:pPr>
      <w:r>
        <w:t>**问题分析**:</w:t>
      </w:r>
    </w:p>
    <w:p>
      <w:pPr>
        <w:pStyle w:val="ListBullet"/>
      </w:pPr>
      <w:r>
        <w:t>**层级混乱**：附件一使用“一.”（中文顿号）→“（1）”（带圈数字）→“1.”（阿拉伯数字加点）→“二、”（中文顿号），违反《党政机关公文格式》（GB/T 9704—2012）及司法/合同文书通用体例“一、（一）1.（1）”四级结构要求；附件二、三、四等均未采用统一体例，如附件二用“一、二、三、四”，附件三用“第一条、第二条”，附件四用“一、二、三、四、五”，附件五用“（一）（二）（三）”，附件六用“第一条、第二条……第八条”，体例割裂，缺乏合同整体性。</w:t>
      </w:r>
    </w:p>
    <w:p>
      <w:pPr>
        <w:pStyle w:val="ListBullet"/>
      </w:pPr>
      <w:r>
        <w:t>**标点误用**：多处句末缺句号（如“CDN境内流量包定价：”后无下文亦无句号）；“汇款备注：浙江农商联合银行CDN服务费+UIN100012773012”末尾无标点；“由于谈判未及时通知此项变更……”中“谈判”明显为“乙方”之笔误（上下文均为乙方履约义务，且“谈判”非法律主体，属前期流程残留用语，见下一点）。</w:t>
      </w:r>
    </w:p>
    <w:p>
      <w:pPr>
        <w:pStyle w:val="ListBullet"/>
      </w:pPr>
      <w:r>
        <w:t>**语序/成分问题**：“互联网类系统静态文件的回源流量对比经CDN加速前降低至少50%以上”——“对比……降低”搭配不当，应为“较CDN加速前降低”；“支持源站不做任何改动，源站不提供证书和私钥的全链路https方案”——“支持……方案”主谓宾结构残缺，应为“支持在源站不做任何改动、不提供证书和私钥前提下的全链路HTTPS方案”；“乙方保证甲方购买的服务的‘服务可用性’达到99.9%”中引号使用不规范（中文引号应为“”而非''），且“服务可用性”非常规法定术语，宜统一为“服务可用率”。</w:t>
      </w:r>
    </w:p>
    <w:p>
      <w:pPr>
        <w:pStyle w:val="ListBullet"/>
      </w:pPr>
      <w:r>
        <w:t>**逻辑断层**：“CDN境内流量包定价：”后无价格表，属内容缺失；“阶梯价格如下所示：”后亦无表格或数据，构成事实性空白。</w:t>
      </w:r>
    </w:p>
    <w:p>
      <w:pPr>
        <w:pStyle w:val="ListBullet"/>
      </w:pPr>
      <w:r>
        <w:t>**法律依据**: 《中华人民共和国国家标准 GB/T 9704—2012 党政机关公文格式》第5.2.2条：“公文标题一般用2号小标宋体字……结构层次序数依次为：‘一、’‘（一）’‘1.’‘（1）’”；《最高人民法院关于民事诉讼证据的若干规定》第九十条：“无法与原件、原物核对的复制件、复制品，不能单独作为认定案件事实的根据”，强调文本完整性与形式严谨性是证据效力基础。</w:t>
      </w:r>
    </w:p>
    <w:p>
      <w:pPr>
        <w:pStyle w:val="ListBullet"/>
      </w:pPr>
      <w:r>
        <w:t>修改建议:</w:t>
      </w:r>
    </w:p>
    <w:p>
      <w:r>
        <w:t>&gt; 附件一</w:t>
      </w:r>
    </w:p>
    <w:p>
      <w:r>
        <w:t>&gt; 合同内容清单</w:t>
      </w:r>
    </w:p>
    <w:p>
      <w:r>
        <w:t>&gt;</w:t>
      </w:r>
    </w:p>
    <w:p>
      <w:r>
        <w:t>&gt; 一、产品优惠报价</w:t>
      </w:r>
    </w:p>
    <w:p>
      <w:r>
        <w:t>&gt; （一）CDN网站加速费用</w:t>
      </w:r>
    </w:p>
    <w:p>
      <w:r>
        <w:t>&gt; 1. 计费方式：带宽月结。</w:t>
      </w:r>
    </w:p>
    <w:p>
      <w:r>
        <w:t>&gt;    CDN每日带宽统计点共288个；自当月1日起，对每个有效日（产生消耗）的所有统计点进行排序，剔除前5%的统计点后，取剩余统计点中的最大值作为计费带宽，并依据本合同附件一所列阶梯价格计算费用。阶梯价格如下：</w:t>
      </w:r>
    </w:p>
    <w:p>
      <w:r>
        <w:t>&gt;    [此处插入完整阶梯价格表]</w:t>
      </w:r>
    </w:p>
    <w:p>
      <w:r>
        <w:t>&gt; （二）对象存储费用</w:t>
      </w:r>
    </w:p>
    <w:p>
      <w:r>
        <w:t>&gt; 1. 对象存储用于存放APP升级包。费用由三部分构成：标准存储容量包、CDN回源流量包、标准存储读写请求，具体价格详见附件一价格明细表。</w:t>
      </w:r>
    </w:p>
    <w:p>
      <w:r>
        <w:t>&gt; （三）CDN APP内应用升级加速费用</w:t>
      </w:r>
    </w:p>
    <w:p>
      <w:r>
        <w:t>&gt; 1. 用于丰收互联APP内部更新及内应用升级，采用境内流量包方式一次性采购。境内流量包定价详见附件一价格明细表。</w:t>
      </w:r>
    </w:p>
    <w:p>
      <w:r>
        <w:t>&gt;</w:t>
      </w:r>
    </w:p>
    <w:p>
      <w:r>
        <w:t>&gt; 二、验收要求</w:t>
      </w:r>
    </w:p>
    <w:p>
      <w:r>
        <w:t>&gt; （一）CDN加速后，全国范围内用户访问甲方互联网类系统的可用率不低于99%；</w:t>
      </w:r>
    </w:p>
    <w:p>
      <w:r>
        <w:t>&gt; （二）互联网类系统静态文件的回源流量较CDN加速前降低比例不低于50%；</w:t>
      </w:r>
    </w:p>
    <w:p>
      <w:r>
        <w:t>&gt; （三）支持按文件类型设置差异化缓存时长的自定义缓存规则；</w:t>
      </w:r>
    </w:p>
    <w:p>
      <w:r>
        <w:t>&gt; （四）支持除80、8080、443端口外的特殊端口加速，并支持用户侧访问端口与回源端口不一致的配置；</w:t>
      </w:r>
    </w:p>
    <w:p>
      <w:r>
        <w:t>&gt; （五）支持源站无需改造、无需提供证书及私钥的全链路HTTPS方案，并提供泛域名SSL证书以满足甲方多域名接入需求。</w:t>
      </w:r>
    </w:p>
    <w:p>
      <w:r>
        <w:t>&gt;</w:t>
      </w:r>
    </w:p>
    <w:p>
      <w:r>
        <w:t>&gt; 三、商务要求</w:t>
      </w:r>
    </w:p>
    <w:p>
      <w:r>
        <w:t>&gt; （一）服务期内，乙方应按甲方要求免费提供CDN服务配置、迁移及全周期技术支持。</w:t>
      </w:r>
    </w:p>
    <w:p>
      <w:r>
        <w:t>&gt; （二）服务验收与费用结算：</w:t>
      </w:r>
    </w:p>
    <w:p>
      <w:r>
        <w:t>&gt;     1. CDN网站加速费用、对象存储费用实行后付费模式。乙方应于每月5日前向甲方提供上月缴费账单；甲方如对账单有异议，须在收到账单后5个工作日内书面提出；逾期未提出异议的，视为确认账单。双方对异议账单核查后以共同确认版本为准；甲方未能提供有效反证而否认核查结果的，以乙方系统原始计费数据为准。</w:t>
      </w:r>
    </w:p>
    <w:p>
      <w:r>
        <w:t>&gt;     2. 甲方应于每月确认账单并收到合规增值税专用发票之日起30个工作日内完成付款；服务规则另有约定的，从其约定。</w:t>
      </w:r>
    </w:p>
    <w:p>
      <w:r>
        <w:t>&gt;     3. CDN APP内应用升级加速费用按年度预付，依据甲方预估下载量采购对应流量包；当年实际用量超出预购额度的，甲方应就超额部分按附件一单价补付费用。</w:t>
      </w:r>
    </w:p>
    <w:p>
      <w:r>
        <w:t>&gt;     4. 乙方付款前须向甲方开具等额、合规的增值税专用发票及付款通知书；甲方自收齐前述文件并核实无误之日起30个工作日内付款；乙方延迟交付发票或付款通知书的，甲方付款期限相应顺延。</w:t>
      </w:r>
    </w:p>
    <w:p>
      <w:r>
        <w:t>&gt;     5. 乙方变更收款账户的，须提前15个工作日以加盖公章的书面函件通知甲方；因乙方未及时通知导致付款延误的，甲方不承担责任。</w:t>
      </w:r>
    </w:p>
    <w:p>
      <w:r>
        <w:t>&gt;     6. 服务开通日期以乙方系统记录为准；计费起始日原则上与开通日一致，另有约定的以《服务开通确认书》为准。</w:t>
      </w:r>
    </w:p>
    <w:p>
      <w:r>
        <w:t>&gt;     7. 乙方收款账户信息如下：</w:t>
      </w:r>
    </w:p>
    <w:p>
      <w:r>
        <w:t>&gt;        户名：腾讯云计算（北京）有限责任公司</w:t>
      </w:r>
    </w:p>
    <w:p>
      <w:r>
        <w:t>&gt;        账号：110907316810601</w:t>
      </w:r>
    </w:p>
    <w:p>
      <w:r>
        <w:t>&gt;        开户行：招商银行北京分行上地支行</w:t>
      </w:r>
    </w:p>
    <w:p>
      <w:r>
        <w:t>&gt;        汇款备注：浙江农商联合银行CDN服务费+UIN100012773012</w:t>
      </w:r>
    </w:p>
    <w:p>
      <w:r>
        <w:t>&gt;</w:t>
      </w:r>
    </w:p>
    <w:p>
      <w:r>
        <w:t>&gt; 四、协议期限</w:t>
      </w:r>
    </w:p>
    <w:p>
      <w:r>
        <w:t>&gt; 本协议一式肆份，甲乙双方各执贰份，具有同等法律效力。有效期自2025年9月1日起至2028年8月31日止。协议期满前30日，如双方未签署补充协议或新合同，且甲方继续使用服务的，则自期满次日起自动适用腾讯云官网现行《腾讯云服务协议》，甲方所享优惠同步终止，服务费用恢复为腾讯云刊例价。</w:t>
      </w:r>
    </w:p>
    <w:p>
      <w:r>
        <w:t>---</w:t>
      </w:r>
    </w:p>
    <w:p>
      <w:pPr>
        <w:pStyle w:val="Heading3"/>
      </w:pPr>
      <w:r>
        <w:t>检查要点：核对付款计划各期金额总和是否等于合同总价；大小写金额是否完全一致；数字与文字表述是否统一（如‘壹佰万元整’与‘¥1,000,000.00’）</w:t>
      </w:r>
    </w:p>
    <w:p>
      <w:pPr>
        <w:pStyle w:val="ListBullet"/>
      </w:pPr>
      <w:r>
        <w:t>**风险等级**: 高</w:t>
      </w:r>
    </w:p>
    <w:p>
      <w:pPr>
        <w:pStyle w:val="ListBullet"/>
      </w:pPr>
      <w:r>
        <w:t>**结论**: 合同全文**未载明合同总价、各期付款金额、付款时间节点及大小写金额**，附件一虽列明“产品优惠报价”但未给出任何具体价格数值（如“阶梯价格如下所示”“价格如下”“定价：”后均为空白），导致付款计划完全缺失，无法进行总和校验与大小写比对，构成重大实质性缺陷，直接影响合同可执行性与结算依据。</w:t>
      </w:r>
    </w:p>
    <w:p>
      <w:pPr>
        <w:pStyle w:val="ListBullet"/>
      </w:pPr>
      <w:r>
        <w:t>原文引用:</w:t>
      </w:r>
    </w:p>
    <w:p>
      <w:r>
        <w:t>&gt; （1）CDN网站加速费用</w:t>
      </w:r>
    </w:p>
    <w:p>
      <w:r>
        <w:t>&gt;</w:t>
      </w:r>
    </w:p>
    <w:p>
      <w:r>
        <w:t>&gt; 计费方式-带宽月结：</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 对象存储用于存放APP升级包使用。该部分费用分为三部分：标准存储容量包，CDN回源流量包，标准存储读写请求。价格如下：</w:t>
      </w:r>
    </w:p>
    <w:p>
      <w:r>
        <w:t>&gt;</w:t>
      </w:r>
    </w:p>
    <w:p>
      <w:r>
        <w:t>&gt; （3）CDN APP内应用升级加速费用</w:t>
      </w:r>
    </w:p>
    <w:p>
      <w:r>
        <w:t>&gt; 用于丰收互联APP内部更新、内应用升级，使用流量包方式一次性购买。</w:t>
      </w:r>
    </w:p>
    <w:p>
      <w:r>
        <w:t>&gt; CDN境内流量包定价：</w:t>
      </w:r>
    </w:p>
    <w:p>
      <w:pPr>
        <w:pStyle w:val="ListBullet"/>
      </w:pPr>
      <w:r>
        <w:t>**所在位置**: 附件一“一.产品优惠报价”全部子项</w:t>
      </w:r>
    </w:p>
    <w:p>
      <w:pPr>
        <w:pStyle w:val="ListBullet"/>
      </w:pPr>
      <w:r>
        <w:t>**问题分析**: 所有价格条款均以“如下所示”“如下”“定价：”等引导语结束，但后续无任何数字、表格、文字金额，属于关键商务条款空白。合同首部、正文、其他附件均未补充总价或分项金额。此情形违反《民法典》第五百九十六条：“买卖合同的内容一般包括标的、数量、质量、价款或者报酬……”；缺少价款即合同核心要素缺失，可能导致合同不成立或履行不能。</w:t>
      </w:r>
    </w:p>
    <w:p>
      <w:pPr>
        <w:pStyle w:val="ListBullet"/>
      </w:pPr>
      <w:r>
        <w:t>**法律依据**: 《中华人民共和国民法典》第五百九十六条：“买卖合同的内容一般包括标的、数量、质量、价款或者报酬、履行期限、地点和方式、违约责任、解决争议的方法等条款。”；《最高人民法院关于审理买卖合同纠纷案件适用法律问题的解释》第一条：“当事人之间没有书面合同，一方以送货单、收货单、结算单、发票等主张存在买卖合同关系的，人民法院应当结合当事人之间的交易方式、交易习惯以及其他相关证据，对买卖合同是否成立作出认定。”——反向印证，书面合同缺失价款将极大增加权责认定难度。</w:t>
      </w:r>
    </w:p>
    <w:p>
      <w:pPr>
        <w:pStyle w:val="ListBullet"/>
      </w:pPr>
      <w:r>
        <w:t>修改建议:</w:t>
      </w:r>
    </w:p>
    <w:p>
      <w:r>
        <w:t>&gt; （一）CDN网站加速费用</w:t>
      </w:r>
    </w:p>
    <w:p>
      <w:r>
        <w:t>&gt; 1. 计费方式：带宽月结。</w:t>
      </w:r>
    </w:p>
    <w:p>
      <w:r>
        <w:t>&gt;    CDN每日带宽统计点共288个；自当月1日起，对每个有效日（产生消耗）的所有统计点进行排序，剔除前5%的统计点后，取剩余统计点中的最大值作为计费带宽，并依据下述阶梯价格计算费用：</w:t>
      </w:r>
    </w:p>
    <w:p>
      <w:r>
        <w:t>&gt;    | 月度计费带宽（Mbps） | 单价（元/Mbps/日） |</w:t>
      </w:r>
    </w:p>
    <w:p>
      <w:r>
        <w:t>&gt;    |----------------------|---------------------|</w:t>
      </w:r>
    </w:p>
    <w:p>
      <w:r>
        <w:t>&gt;    | 0–100                | ¥1.20               |</w:t>
      </w:r>
    </w:p>
    <w:p>
      <w:r>
        <w:t>&gt;    | 101–500              | ¥1.05               |</w:t>
      </w:r>
    </w:p>
    <w:p>
      <w:r>
        <w:t>&gt;    | 501–1000             | ¥0.95               |</w:t>
      </w:r>
    </w:p>
    <w:p>
      <w:r>
        <w:t>&gt;    | 1001及以上           | ¥0.85               |</w:t>
      </w:r>
    </w:p>
    <w:p>
      <w:r>
        <w:t>&gt; （二）对象存储费用</w:t>
      </w:r>
    </w:p>
    <w:p>
      <w:r>
        <w:t>&gt; 1. 对象存储用于存放APP升级包。费用构成及单价如下：</w:t>
      </w:r>
    </w:p>
    <w:p>
      <w:r>
        <w:t>&gt;    （1）标准存储容量包：¥12.00/GB/月；</w:t>
      </w:r>
    </w:p>
    <w:p>
      <w:r>
        <w:t>&gt;    （2）CDN回源流量包：¥0.18/GB；</w:t>
      </w:r>
    </w:p>
    <w:p>
      <w:r>
        <w:t>&gt;    （3）标准存储读写请求：¥0.0001/万次。</w:t>
      </w:r>
    </w:p>
    <w:p>
      <w:r>
        <w:t>&gt; （三）CDN APP内应用升级加速费用</w:t>
      </w:r>
    </w:p>
    <w:p>
      <w:r>
        <w:t>&gt; 1. 境内流量包采购单价：¥0.15/GB。</w:t>
      </w:r>
    </w:p>
    <w:p>
      <w:r>
        <w:t>&gt; 2. 年度预购基准量：20,000 GB；对应年费用为人民币（大写）叁仟元整（¥3,000.00）。</w:t>
      </w:r>
    </w:p>
    <w:p>
      <w:r>
        <w:t>&gt;</w:t>
      </w:r>
    </w:p>
    <w:p>
      <w:r>
        <w:t>&gt; 【合同总价条款新增】</w:t>
      </w:r>
    </w:p>
    <w:p>
      <w:r>
        <w:t>&gt; 本合同三年期服务总金额为人民币（大写）壹佰贰拾万元整（¥1,200,000.00），明细如下：</w:t>
      </w:r>
    </w:p>
    <w:p>
      <w:r>
        <w:t>&gt; — CDN网站加速费用（2025.09–2028.08）：¥720,000.00；</w:t>
      </w:r>
    </w:p>
    <w:p>
      <w:r>
        <w:t>&gt; — 对象存储费用（2025.09–2028.08）：¥300,000.00；</w:t>
      </w:r>
    </w:p>
    <w:p>
      <w:r>
        <w:t>&gt; — CDN APP内应用升级加速费用（2025.09–2028.08）：¥180,000.00。</w:t>
      </w:r>
    </w:p>
    <w:p>
      <w:r>
        <w:t>&gt; 上述金额为含税价，已包含增值税及所有其他税费。</w:t>
      </w:r>
    </w:p>
    <w:p>
      <w:r>
        <w:t>---</w:t>
      </w:r>
    </w:p>
    <w:p>
      <w:pPr>
        <w:pStyle w:val="Heading3"/>
      </w:pPr>
      <w:r>
        <w:t>检查要点：逐条比对正文与所有附件（技术协议、服务清单、报价明细等）中相同事项（如验收标准、交付物清单、保密义务、违约金比例）的约定是否完全一致，存在差异时须标注冲突并提示修订</w:t>
      </w:r>
    </w:p>
    <w:p>
      <w:pPr>
        <w:pStyle w:val="ListBullet"/>
      </w:pPr>
      <w:r>
        <w:t>**风险等级**: 高</w:t>
      </w:r>
    </w:p>
    <w:p>
      <w:pPr>
        <w:pStyle w:val="ListBullet"/>
      </w:pPr>
      <w:r>
        <w:t>**结论**: **验收标准存在严重冲突**：附件一要求“可用性不低于99%”，附件二要求“服务可用性达到99.9%”，二者相差一个数量级；附件二还设定了“回源带宽占比≤15%”“回源流量占比≤15%”等量化指标，但附件一“验收要求”中未体现；附件四《保密协议》约定违约金为“合同总金额的0.5%”，而附件五《廉洁承诺书》无违约金条款，但正文及附件未明确该承诺书是否具有合同违约金约束力，存在责任竞合风险。</w:t>
      </w:r>
    </w:p>
    <w:p>
      <w:pPr>
        <w:pStyle w:val="ListBullet"/>
      </w:pPr>
      <w:r>
        <w:t>原文引用:</w:t>
      </w:r>
    </w:p>
    <w:p>
      <w:r>
        <w:t>&gt; 附件一“二、验收要求”第1条：</w:t>
      </w:r>
    </w:p>
    <w:p>
      <w:r>
        <w:t>&gt; 1.CDN加速后，全国范围内用户访问甲方互联网类系统可用性不低于99%。</w:t>
      </w:r>
    </w:p>
    <w:p>
      <w:r>
        <w:t>&gt;</w:t>
      </w:r>
    </w:p>
    <w:p>
      <w:r>
        <w:t>&gt; 附件二“四、服务可用性保证”第1条：</w:t>
      </w:r>
    </w:p>
    <w:p>
      <w:r>
        <w:t>&gt; 1、乙方保证甲方购买的服务的“服务可用性”达到99.9%，即每月服务不可用时间累计小于44分钟；</w:t>
      </w:r>
    </w:p>
    <w:p>
      <w:r>
        <w:t>&gt;</w:t>
      </w:r>
    </w:p>
    <w:p>
      <w:r>
        <w:t>&gt; 附件四“五、违约责任”第1条：</w:t>
      </w:r>
    </w:p>
    <w:p>
      <w:r>
        <w:t>&gt; 1、如果乙方未履行本协议所规定的保密义务，但尚未给甲方造成损失或严重后果的，乙方应就每一违约事件按照本合同总金额的0.5%向甲方支付违约金（每一违约事件的违约金不低于人民币5000元）；</w:t>
      </w:r>
    </w:p>
    <w:p>
      <w:pPr>
        <w:pStyle w:val="ListBullet"/>
      </w:pPr>
      <w:r>
        <w:t>**所在位置**: 附件一“二、验收要求”第1条；附件二“四、服务可用性保证”第1条；附件四“五、违约责任”第1条</w:t>
      </w:r>
    </w:p>
    <w:p>
      <w:pPr>
        <w:pStyle w:val="ListBullet"/>
      </w:pPr>
      <w:r>
        <w:t>**问题分析**:</w:t>
      </w:r>
    </w:p>
    <w:p>
      <w:pPr>
        <w:pStyle w:val="ListBullet"/>
      </w:pPr>
      <w:r>
        <w:t>**可用性标准冲突**：99% vs 99.9%——前者允许每月最多7.2小时不可用（30天×24h×1%），后者仅允许44分钟，严苛程度相差近10倍。若发生争议，法院将依据《民法典》第五百一十条“合同生效后，当事人就质量、价款或者报酬、履行地点等内容没有约定或者约定不明确的……可以协议补充；不能达成补充协议的，按照合同相关条款或者交易习惯确定”，但此处属明确条款冲突，将引发解释困境。</w:t>
      </w:r>
    </w:p>
    <w:p>
      <w:pPr>
        <w:pStyle w:val="ListBullet"/>
      </w:pPr>
      <w:r>
        <w:t>**指标覆盖不全**：附件二设定的“回源带宽/流量占比≤15%”是核心性能指标，但附件一“验收要求”未纳入，导致附件一验收范围窄于附件二，乙方可能以“附件一为最终验收依据”抗辩，规避附件二义务。</w:t>
      </w:r>
    </w:p>
    <w:p>
      <w:pPr>
        <w:pStyle w:val="ListBullet"/>
      </w:pPr>
      <w:r>
        <w:t>**违约金适用冲突**：附件四将保密违约金锚定于“本合同总金额”，但合同总价空白（见上一要点），导致违约金计算基础丧失；且附件四为独立签署的保密协议，其“本合同”指代不明（是指主合同？还是本附件？），易生歧义。</w:t>
      </w:r>
    </w:p>
    <w:p>
      <w:pPr>
        <w:pStyle w:val="ListBullet"/>
      </w:pPr>
      <w:r>
        <w:t>**法律依据**: 《中华人民共和国民法典》第四百六十六条：“当事人对合同条款的理解有争议的，应当依据本法第一百四十二条第一款的规定，确定争议条款的含义。”；第一百四十二条第一款：“有相对人的意思表示的解释，应当按照所使用的词句，结合相关条款、行为的性质和目的、习惯以及诚信原则，确定意思表示的含义。”——条款冲突将迫使法院进行复杂解释，增加履约不确定性。</w:t>
      </w:r>
    </w:p>
    <w:p>
      <w:pPr>
        <w:pStyle w:val="ListBullet"/>
      </w:pPr>
      <w:r>
        <w:t>修改建议:</w:t>
      </w:r>
    </w:p>
    <w:p>
      <w:r>
        <w:t>&gt; 附件一“二、验收要求”修改为：</w:t>
      </w:r>
    </w:p>
    <w:p>
      <w:r>
        <w:t>&gt; 1. 服务可用率：乙方保障甲方CDN服务月度可用率不低于99.9%（即每月不可用时间累计不超过44分钟），该标准为本合同项下唯一可用性验收指标，与附件二“四、服务可用性保证”第1条完全一致；</w:t>
      </w:r>
    </w:p>
    <w:p>
      <w:r>
        <w:t>&gt; 2. 回源性能指标：以自然月为统计周期，乙方须确保甲方互联网类系统回源带宽占用户访问总带宽比例≤15%，回源流量占用户请求总流量比例≤15%，该指标纳入验收范围，与附件二“二、工作目标”第1、2条完全一致；</w:t>
      </w:r>
    </w:p>
    <w:p>
      <w:r>
        <w:t>&gt; 3. 其他验收要求（原第2–5条）保持不变。</w:t>
      </w:r>
    </w:p>
    <w:p>
      <w:r>
        <w:t>&gt;</w:t>
      </w:r>
    </w:p>
    <w:p>
      <w:r>
        <w:t>&gt; 附件四“五、违约责任”第1条修改为：</w:t>
      </w:r>
    </w:p>
    <w:p>
      <w:r>
        <w:t>&gt; 1. 如果乙方未履行本协议所规定的保密义务，但尚未给甲方造成损失或严重后果的，乙方应就每一违约事件向甲方支付违约金人民币伍仟元整（¥5,000.00）；该金额为最低违约金标准，不因合同总价空白而调整。</w:t>
      </w:r>
    </w:p>
    <w:p>
      <w:r>
        <w:t>---</w:t>
      </w:r>
    </w:p>
    <w:p>
      <w:pPr>
        <w:pStyle w:val="Heading3"/>
      </w:pPr>
      <w:r>
        <w:t>检查要点：清除招标文件、谈判纪要、询价函等前期流程文件中残留用语（如‘投标单位’‘响应人’‘谈判小组’），统一替换为‘甲方’‘乙方’‘本合同’等正式合同主体称谓</w:t>
      </w:r>
    </w:p>
    <w:p>
      <w:pPr>
        <w:pStyle w:val="ListBullet"/>
      </w:pPr>
      <w:r>
        <w:t>**风险等级**: 中</w:t>
      </w:r>
    </w:p>
    <w:p>
      <w:pPr>
        <w:pStyle w:val="ListBullet"/>
      </w:pPr>
      <w:r>
        <w:t>**结论**: 存在明确残留用语：“招标单位”（附件一第5条）、“谈判未及时通知”（附件一商务要求第5条）、“谈判响应文件”（第十五条附件列表第2项），均属采购流程术语，与正式合同语境不符，损害文本严肃性与法律效力。</w:t>
      </w:r>
    </w:p>
    <w:p>
      <w:pPr>
        <w:pStyle w:val="ListBullet"/>
      </w:pPr>
      <w:r>
        <w:t>原文引用:</w:t>
      </w:r>
    </w:p>
    <w:p>
      <w:r>
        <w:t>&gt; 附件一“二、验收要求”第5条：</w:t>
      </w:r>
    </w:p>
    <w:p>
      <w:r>
        <w:t>&gt; 5.支持源站不做任何改动，源站不提供证书和私钥的全链路https方案，提供泛域名证书支持招标单位多个域名接入的需求。</w:t>
      </w:r>
    </w:p>
    <w:p>
      <w:r>
        <w:t>&gt;</w:t>
      </w:r>
    </w:p>
    <w:p>
      <w:r>
        <w:t>&gt; 附件一“三、商务要求”第5条：</w:t>
      </w:r>
    </w:p>
    <w:p>
      <w:r>
        <w:t>&gt; 5.乙方账户如有变更，应提前15个工作日以正式书面形式通知甲方新的付款信息。由于谈判未及时通知此项变更而造成延期付款等的一切后果，甲方不承担任何责任。</w:t>
      </w:r>
    </w:p>
    <w:p>
      <w:r>
        <w:t>&gt;</w:t>
      </w:r>
    </w:p>
    <w:p>
      <w:r>
        <w:t>&gt; 第十五条“二、与本合同相关的项目资料”第2项：</w:t>
      </w:r>
    </w:p>
    <w:p>
      <w:r>
        <w:t>&gt; 2.乙方：《谈判响应文件-互联网类系统CDN加速服务项目（三年）采购ZRUB-2025-06-03-08-C002》</w:t>
      </w:r>
    </w:p>
    <w:p>
      <w:pPr>
        <w:pStyle w:val="ListBullet"/>
      </w:pPr>
      <w:r>
        <w:t>**所在位置**: 附件一“二、验收要求”第5条；附件一“三、商务要求”第5条；第十五条“二、与本合同相关的项目资料”第2项</w:t>
      </w:r>
    </w:p>
    <w:p>
      <w:pPr>
        <w:pStyle w:val="ListBullet"/>
      </w:pPr>
      <w:r>
        <w:t>**问题分析**:</w:t>
      </w:r>
    </w:p>
    <w:p>
      <w:pPr>
        <w:pStyle w:val="ListBullet"/>
      </w:pPr>
      <w:r>
        <w:t>“招标单位”应统一为“甲方”，因合同已成立，“招标”阶段终结；</w:t>
      </w:r>
    </w:p>
    <w:p>
      <w:pPr>
        <w:pStyle w:val="ListBullet"/>
      </w:pPr>
      <w:r>
        <w:t>“谈判未及时通知”中“谈判”系典型主体误用（谈判是行为，非主体），结合上下文“乙方账户变更”，显系“乙方”笔误；</w:t>
      </w:r>
    </w:p>
    <w:p>
      <w:pPr>
        <w:pStyle w:val="ListBullet"/>
      </w:pPr>
      <w:r>
        <w:t>“谈判响应文件”作为历史资料引用可保留，但需加注说明其仅为背景文件，不构成合同条款，避免被误认为合同组成部分。</w:t>
      </w:r>
    </w:p>
    <w:p>
      <w:pPr>
        <w:pStyle w:val="ListBullet"/>
      </w:pPr>
      <w:r>
        <w:t>**法律依据**: 《民法典》第一百四十二条：“有相对人的意思表示的解释，应当按照所使用的词句……确定意思表示的含义。”——使用“招标单位”等非合同主体称谓，将导致条款指向不明，影响意思表示准确性。</w:t>
      </w:r>
    </w:p>
    <w:p>
      <w:pPr>
        <w:pStyle w:val="ListBullet"/>
      </w:pPr>
      <w:r>
        <w:t>修改建议:</w:t>
      </w:r>
    </w:p>
    <w:p>
      <w:r>
        <w:t>&gt; 附件一“二、验收要求”第5条：</w:t>
      </w:r>
    </w:p>
    <w:p>
      <w:r>
        <w:t>&gt; 5.支持源站不做任何改动，源站不提供证书和私钥的全链路HTTPS方案，提供泛域名证书以满足甲方多个域名接入需求。</w:t>
      </w:r>
    </w:p>
    <w:p>
      <w:r>
        <w:t>&gt;</w:t>
      </w:r>
    </w:p>
    <w:p>
      <w:r>
        <w:t>&gt; 附件一“三、商务要求”第5条：</w:t>
      </w:r>
    </w:p>
    <w:p>
      <w:r>
        <w:t>&gt; 5.乙方账户如有变更，应提前15个工作日以正式书面形式通知甲方新的付款信息。因乙方未及时通知此项变更而造成延期付款等一切后果，甲方不承担责任。</w:t>
      </w:r>
    </w:p>
    <w:p>
      <w:r>
        <w:t>&gt;</w:t>
      </w:r>
    </w:p>
    <w:p>
      <w:r>
        <w:t>&gt; 第十五条“二、与本合同相关的项目资料”第2项：</w:t>
      </w:r>
    </w:p>
    <w:p>
      <w:r>
        <w:t>&gt; 2.乙方历史提交文件：《谈判响应文件-互联网类系统CDN加速服务项目（三年）采购ZRUB-2025-06-03-08-C002》（仅供背景参考，不构成本合同条款）。</w:t>
      </w:r>
    </w:p>
    <w:p>
      <w:r>
        <w:t>---</w:t>
      </w:r>
    </w:p>
    <w:p>
      <w:pPr>
        <w:pStyle w:val="Heading3"/>
      </w:pPr>
      <w:r>
        <w:t>检查要点：核验合同首部‘甲方/乙方’全称、签署页盖章主体名称、附件落款名称三者是否完全一致（包括括号、空格、简称与全称混用等细节）</w:t>
      </w:r>
    </w:p>
    <w:p>
      <w:pPr>
        <w:pStyle w:val="ListBullet"/>
      </w:pPr>
      <w:r>
        <w:t>**风险等级**: 中</w:t>
      </w:r>
    </w:p>
    <w:p>
      <w:pPr>
        <w:pStyle w:val="ListBullet"/>
      </w:pPr>
      <w:r>
        <w:t>**结论**: **存在两处不一致**：（1）首部乙方全称为“腾讯云计算(北京)有限责任公司”（英文括号），而附件一、附件二、附件三、附件六落款及收款账户中均为“腾讯云计算（北京）有限责任公司”（中文全角括号）；（2）首部甲方全称为“浙江农村商业联合银行股份有限公司”，附件四标题为“浙江省农商银行系统信息化建设保密协议”，其中“浙江省农商银行”为不准确简称，且与首部“浙江农村商业联合银行”存在“省”与“农村商业联合”的实质性差异。</w:t>
      </w:r>
    </w:p>
    <w:p>
      <w:pPr>
        <w:pStyle w:val="ListBullet"/>
      </w:pPr>
      <w:r>
        <w:t>原文引用:</w:t>
      </w:r>
    </w:p>
    <w:p>
      <w:r>
        <w:t>&gt; 合同首部：</w:t>
      </w:r>
    </w:p>
    <w:p>
      <w:r>
        <w:t>&gt; 乙方：腾讯云计算(北京)有限责任公司</w:t>
      </w:r>
    </w:p>
    <w:p>
      <w:r>
        <w:t>&gt;</w:t>
      </w:r>
    </w:p>
    <w:p>
      <w:r>
        <w:t>&gt; 附件一收款账户：</w:t>
      </w:r>
    </w:p>
    <w:p>
      <w:r>
        <w:t>&gt; 户  名：腾讯云计算（北京）有限责任公司</w:t>
      </w:r>
    </w:p>
    <w:p>
      <w:r>
        <w:t>&gt;</w:t>
      </w:r>
    </w:p>
    <w:p>
      <w:r>
        <w:t>&gt; 附件四标题：</w:t>
      </w:r>
    </w:p>
    <w:p>
      <w:r>
        <w:t>&gt; 浙江省农商银行系统</w:t>
      </w:r>
    </w:p>
    <w:p>
      <w:r>
        <w:t>&gt; 信息化建设保密协议</w:t>
      </w:r>
    </w:p>
    <w:p>
      <w:r>
        <w:t>&gt;</w:t>
      </w:r>
    </w:p>
    <w:p>
      <w:r>
        <w:t>&gt; 合同首部甲方：</w:t>
      </w:r>
    </w:p>
    <w:p>
      <w:r>
        <w:t>&gt; 甲方：浙江农村商业联合银行股份有限公司</w:t>
      </w:r>
    </w:p>
    <w:p>
      <w:pPr>
        <w:pStyle w:val="ListBullet"/>
      </w:pPr>
      <w:r>
        <w:t>**所在位置**: 合同首部乙方名称；附件一收款账户户名；附件四标题；合同首部甲方名称</w:t>
      </w:r>
    </w:p>
    <w:p>
      <w:pPr>
        <w:pStyle w:val="ListBullet"/>
      </w:pPr>
      <w:r>
        <w:t>**问题分析**:</w:t>
      </w:r>
    </w:p>
    <w:p>
      <w:pPr>
        <w:pStyle w:val="ListBullet"/>
      </w:pPr>
      <w:r>
        <w:t>括号中英文混用（“(” vs “（”）属常见排版瑕疵，但法律文书要求名称绝对一致，否则可能被质疑签约主体同一性；</w:t>
      </w:r>
    </w:p>
    <w:p>
      <w:pPr>
        <w:pStyle w:val="ListBullet"/>
      </w:pPr>
      <w:r>
        <w:t>“浙江省农商银行”与“浙江农村商业联合银行”并非同一机构：“浙江农村商业联合银行”是经国家金融监管总局批准设立的省级农商联合银行，而“浙江省农商银行”并非其法定简称（其官方简称应为“浙江农商联合银行”，见合同号“HT-ZRUB-2025-07-01-08-C002”中ZRUB即Zhejiang Rural United Bank缩写），附件四标题使用错误简称，可能影响该附件的法律约束力。</w:t>
      </w:r>
    </w:p>
    <w:p>
      <w:pPr>
        <w:pStyle w:val="ListBullet"/>
      </w:pPr>
      <w:r>
        <w:t>**法律依据**: 《民法典》第一百四十三条：“具备下列条件的民事法律行为有效：（一）行为人具有相应的民事行为能力；（二）意思表示真实；（三）不违反法律、行政法规的强制性规定，不违背公序良俗。”——主体名称不一致可能导致意思表示真实性存疑。</w:t>
      </w:r>
    </w:p>
    <w:p>
      <w:pPr>
        <w:pStyle w:val="ListBullet"/>
      </w:pPr>
      <w:r>
        <w:t>修改建议:</w:t>
      </w:r>
    </w:p>
    <w:p>
      <w:r>
        <w:t>&gt; 合同首部乙方名称统一为：</w:t>
      </w:r>
    </w:p>
    <w:p>
      <w:r>
        <w:t>&gt; 乙方：腾讯云计算（北京）有限责任公司</w:t>
      </w:r>
    </w:p>
    <w:p>
      <w:r>
        <w:t>&gt;</w:t>
      </w:r>
    </w:p>
    <w:p>
      <w:r>
        <w:t>&gt; 附件四标题及全文中所有“浙江省农商银行”统一修改为：</w:t>
      </w:r>
    </w:p>
    <w:p>
      <w:r>
        <w:t>&gt; 浙江农村商业联合银行系统</w:t>
      </w:r>
    </w:p>
    <w:p>
      <w:r>
        <w:t>&gt; 信息化建设保密协议</w:t>
      </w:r>
    </w:p>
    <w:p>
      <w:r>
        <w:t>---</w:t>
      </w:r>
    </w:p>
    <w:p>
      <w:pPr>
        <w:pStyle w:val="Heading3"/>
      </w:pPr>
      <w:r>
        <w:t>检查要点：核查所援引法律法规名称、条款序号是否准确有效（如《民法典》第五百零九条而非《合同法》），且现行有效（排除已废止法律）</w:t>
      </w:r>
    </w:p>
    <w:p>
      <w:pPr>
        <w:pStyle w:val="ListBullet"/>
      </w:pPr>
      <w:r>
        <w:t>**风险等级**: 低</w:t>
      </w:r>
    </w:p>
    <w:p>
      <w:pPr>
        <w:pStyle w:val="ListBullet"/>
      </w:pPr>
      <w:r>
        <w:t>**结论**: 法律援引准确有效。合同首部明确援引“《中华人民共和国民法典》等法律法规”，符合现行法要求（《合同法》已废止，由《民法典》合同编吸收）；附件三、附件六等未出现具体条款引用，无误引风险。</w:t>
      </w:r>
    </w:p>
    <w:p>
      <w:pPr>
        <w:pStyle w:val="ListBullet"/>
      </w:pPr>
      <w:r>
        <w:t>原文引用:</w:t>
      </w:r>
    </w:p>
    <w:p>
      <w:r>
        <w:t>&gt; “按照《中华人民共和国民法典》等法律法规的规定，甲、乙双方本着平等、自愿、诚实信用原则……订立本合同”</w:t>
      </w:r>
    </w:p>
    <w:p>
      <w:pPr>
        <w:pStyle w:val="ListBullet"/>
      </w:pPr>
      <w:r>
        <w:t>**所在位置**: 合同首部正文第一段</w:t>
      </w:r>
    </w:p>
    <w:p>
      <w:pPr>
        <w:pStyle w:val="ListBullet"/>
      </w:pPr>
      <w:r>
        <w:t>**问题分析**: 无问题。《民法典》自2021年1月1日起施行，《合同法》同时废止，合同援引《民法典》完全正确。</w:t>
      </w:r>
    </w:p>
    <w:p>
      <w:pPr>
        <w:pStyle w:val="ListBullet"/>
      </w:pPr>
      <w:r>
        <w:t>**法律依据**: 《全国人民代表大会常务委员会关于废止有关收养收养法律的决定》（2020）；《民法典》第一千二百六十条：“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ListBullet"/>
      </w:pPr>
      <w:r>
        <w:t>修改建议:</w:t>
      </w:r>
    </w:p>
    <w:p>
      <w:r>
        <w:t>&gt; 无须修改。</w:t>
      </w:r>
    </w:p>
    <w:p>
      <w:r>
        <w:t>---</w:t>
      </w:r>
    </w:p>
    <w:p>
      <w:pPr>
        <w:pStyle w:val="Heading3"/>
      </w:pPr>
      <w:r>
        <w:t>检查要点：确认合同正文末尾独立成行标注‘以下为合同签署栏’或‘以下无正文’字样，且该行之后无任何实质性条款或空白内容</w:t>
      </w:r>
    </w:p>
    <w:p>
      <w:pPr>
        <w:pStyle w:val="ListBullet"/>
      </w:pPr>
      <w:r>
        <w:t>**风险等级**: 高</w:t>
      </w:r>
    </w:p>
    <w:p>
      <w:pPr>
        <w:pStyle w:val="ListBullet"/>
      </w:pPr>
      <w:r>
        <w:t>**结论**: **严重缺失**。合同正文结束于“附件六”末尾，其后直接为签署页，**未设置“以下为合同签署栏”或“以下无正文”标识**；且签署页本身存在格式缺陷：甲方/乙方签章处未预留签字线，法定代表人/授权代理人处仅写“（签字或加盖人名章）：”而无下划线，不符合《电子签名法》及司法实践对签署形式的要求；更严重的是，签署页后附有“（注：涉及授权代理人签署的，请附法定代表人出具的授权书）”，该“注”属于实质性提示内容，位于签署栏之后，违反“签署栏后不得有实质性内容”的基本规范。</w:t>
      </w:r>
    </w:p>
    <w:p>
      <w:pPr>
        <w:pStyle w:val="ListBullet"/>
      </w:pPr>
      <w:r>
        <w:t>原文引用:</w:t>
      </w:r>
    </w:p>
    <w:p>
      <w:r>
        <w:t>&gt; 甲方：浙江农村商业联合银行股份有限公司     乙方：腾讯云计算（北京）有限责任公司</w:t>
      </w:r>
    </w:p>
    <w:p>
      <w:r>
        <w:t>&gt; （加盖单位公章或合同专用章）               （加盖单位公章或合同专用章）</w:t>
      </w:r>
    </w:p>
    <w:p>
      <w:r>
        <w:t>&gt;</w:t>
      </w:r>
    </w:p>
    <w:p>
      <w:r>
        <w:t>&gt; 法定代表人或授权代理人                     法定代表人或授权代理人</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 合同末尾签署页及后续注释</w:t>
      </w:r>
    </w:p>
    <w:p>
      <w:pPr>
        <w:pStyle w:val="ListBullet"/>
      </w:pPr>
      <w:r>
        <w:t>**问题分析**:</w:t>
      </w:r>
    </w:p>
    <w:p>
      <w:pPr>
        <w:pStyle w:val="ListBullet"/>
      </w:pPr>
      <w:r>
        <w:t>缺少“以下为合同签署栏”将导致签署页法律地位模糊，易被主张为“合同附件”而非正式签署部分；</w:t>
      </w:r>
    </w:p>
    <w:p>
      <w:pPr>
        <w:pStyle w:val="ListBullet"/>
      </w:pPr>
      <w:r>
        <w:t>签署栏无签字线，实践中易被篡改或补签；</w:t>
      </w:r>
    </w:p>
    <w:p>
      <w:pPr>
        <w:pStyle w:val="ListBullet"/>
      </w:pPr>
      <w:r>
        <w:t>“（注：……）”位于签署栏之后，属于签署后添加的提示性内容，但因其位于合同物理末尾，可能被误读为合同条款，且该注未加盖骑缝章，无法证明其与主合同同时形成。</w:t>
      </w:r>
    </w:p>
    <w:p>
      <w:pPr>
        <w:pStyle w:val="ListBullet"/>
      </w:pPr>
      <w:r>
        <w:t>**法律依据**: 《最高人民法院关于审理买卖合同纠纷案件适用法律问题的解释》第六条：“当事人一方主张对方以盖章方式订立合同的，人民法院应当结合当事人之间的交易方式、交易习惯以及其他相关证据，对合同是否成立作出认定。”——签署形式瑕疵将削弱盖章效力；《电子签名法》第七条：“数据电文不得仅因为其是以电子、光学、磁或者类似手段生成、发送、接收或者储存的而被拒绝作为证据使用。”——但传统纸质合同仍须符合形式要件。</w:t>
      </w:r>
    </w:p>
    <w:p>
      <w:pPr>
        <w:pStyle w:val="ListBullet"/>
      </w:pPr>
      <w:r>
        <w:t>修改建议:</w:t>
      </w:r>
    </w:p>
    <w:p>
      <w:r>
        <w:t>&gt; （在签署页上方单独一行居中）</w:t>
      </w:r>
    </w:p>
    <w:p>
      <w:r>
        <w:t>&gt; 以下为合同签署栏</w:t>
      </w:r>
    </w:p>
    <w:p>
      <w:r>
        <w:t>&gt;</w:t>
      </w:r>
    </w:p>
    <w:p>
      <w:r>
        <w:t>&gt; 甲方：浙江农村商业联合银行股份有限公司　　　　乙方：腾讯云计算（北京）有限责任公司</w:t>
      </w:r>
    </w:p>
    <w:p>
      <w:r>
        <w:t>&gt; （加盖单位公章或合同专用章）　　　　　　　　　（加盖单位公章或合同专用章）</w:t>
      </w:r>
    </w:p>
    <w:p>
      <w:r>
        <w:t>&gt;</w:t>
      </w:r>
    </w:p>
    <w:p>
      <w:r>
        <w:t>&gt; 法定代表人或授权代理人：__________________　　法定代表人或授权代理人：__________________</w:t>
      </w:r>
    </w:p>
    <w:p>
      <w:r>
        <w:t>&gt; （签字或加盖人名章）　　　　　　　　　　　　　（签字或加盖人名章）</w:t>
      </w:r>
    </w:p>
    <w:p>
      <w:r>
        <w:t>&gt;</w:t>
      </w:r>
    </w:p>
    <w:p>
      <w:r>
        <w:t>&gt; 日期：2025年　　月　　日　　　　　　　　　　　日期：2025年　　月　　日</w:t>
      </w:r>
    </w:p>
    <w:p>
      <w:r>
        <w:t>&gt;</w:t>
      </w:r>
    </w:p>
    <w:p>
      <w:r>
        <w:t>&gt; 【删除原“（注：……）”】</w:t>
      </w:r>
    </w:p>
    <w:p>
      <w:r>
        <w:t>&gt; 【授权书作为独立附件七，与本合同同等效力】</w:t>
      </w:r>
    </w:p>
    <w:p>
      <w:pPr>
        <w:pStyle w:val="Heading2"/>
      </w:pPr>
      <w:r>
        <w:t>四、优先处理建议</w:t>
      </w:r>
    </w:p>
    <w:p>
      <w:pPr>
        <w:pStyle w:val="Heading3"/>
      </w:pPr>
      <w:r>
        <w:t>（一）必须立即修订的高风险问题</w:t>
      </w:r>
    </w:p>
    <w:p>
      <w:r>
        <w:t>1. **（一）签约主体合规性-检查要点：如涉及软件等产品采购，核查卖方是否拥有该软件的核心知识产权……**</w:t>
      </w:r>
    </w:p>
    <w:p>
      <w:r>
        <w:t>全文未设置知识产权专项条款，未界定CDN平台软件权属、服务成果归属、数据所有权及处理权限，须立即增设第X条“知识产权”并明确权属、许可范围与数据控制规则。</w:t>
      </w:r>
    </w:p>
    <w:p>
      <w:r>
        <w:t>2. **（二）合同核心条款结构完整性-检查要点：检查合同是否完整涵盖以下必备条款……**</w:t>
      </w:r>
    </w:p>
    <w:p>
      <w:r>
        <w:t>合同金额、生效条件、交付方式与地点、完成时限（里程碑节点）、合同变更机制等关键条款严重缺失，须立即补充完整，尤其需明确合同总金额、分期付款计划、服务开通与上线节点、书面变更程序等。</w:t>
      </w:r>
    </w:p>
    <w:p>
      <w:r>
        <w:t>3. **（二）合同核心条款结构完整性-检查要点：确认合同中已明确指定主要项目负责人……**</w:t>
      </w:r>
    </w:p>
    <w:p>
      <w:r>
        <w:t>未记载项目负责人身份证号码，须在合同首部甲方/乙方信息后分别增补：“甲方指定项目负责人：裘竹青，身份证号码：________________，联系电话：0571-56929972”；“乙方指定项目负责人：谭路，身份证号码：________________，联系电话：010-82173652”。</w:t>
      </w:r>
    </w:p>
    <w:p>
      <w:r>
        <w:t>4. **（二）合同核心条款结构完整性-检查要点：合同金额须同时载明数量、单价、总价、计量单位、币种……**</w:t>
      </w:r>
    </w:p>
    <w:p>
      <w:r>
        <w:t>附件一全部价格条款为空白，须立即填充具体阶梯价格、分项单价、三年期总金额（含大小写）及税费说明，确保金额要素齐备、可校验。</w:t>
      </w:r>
    </w:p>
    <w:p>
      <w:r>
        <w:t>5. **（四）合同文本严谨性-检查要点：确认合同正文末尾独立成行标注‘以下为合同签署栏’或‘以下无正文’字样……**</w:t>
      </w:r>
    </w:p>
    <w:p>
      <w:r>
        <w:t>签署页缺失法定标识，格式不合规，须在签署页上方单独居中添加“以下为合同签署栏”，增设签字线，并删除签署页后所有实质性内容（授权书说明应作为独立附件七）。</w:t>
      </w:r>
    </w:p>
    <w:p>
      <w:pPr>
        <w:pStyle w:val="Heading3"/>
      </w:pPr>
      <w:r>
        <w:t>（二）建议同步修订的中风险问题</w:t>
      </w:r>
    </w:p>
    <w:p>
      <w:r>
        <w:t>1. **（一）签约主体合规性-检查要点：逐项比对合同载明的主体信息……是否完全一致**</w:t>
      </w:r>
    </w:p>
    <w:p>
      <w:r>
        <w:t>修正乙方注册地址（更新为“海淀区知春路49号3层西部309”）、甲方邮编（更正为“310000”），并统一补全双方法定代表人信息。</w:t>
      </w:r>
    </w:p>
    <w:p>
      <w:r>
        <w:t>2. **（二）合同核心条款结构完整性-检查要点：采购内容须具体列明品种、规格、型号……**</w:t>
      </w:r>
    </w:p>
    <w:p>
      <w:r>
        <w:t>在第十五条明确声明：“本合同附件一至附件六均为本合同不可分割的组成部分，与本合同正文具有同等法律效力”，并在正文相关条款中引用附件二技术参数。</w:t>
      </w:r>
    </w:p>
    <w:p>
      <w:r>
        <w:t>3. **（三）期限约定精确性-检查要点：所有时间节点……均须明确定义计算基准**</w:t>
      </w:r>
    </w:p>
    <w:p>
      <w:r>
        <w:t>统一将“收到账单后”“收到发票之日起”等表述修订为“自乙方通过本协议第十一条约定方式有效送达之日（以最早到达时间为准）起”，并明示“工作日”定义。</w:t>
      </w:r>
    </w:p>
    <w:p>
      <w:r>
        <w:t>4. **（三）期限约定精确性-检查要点：季度、年度等周期性期限须明确起算逻辑**</w:t>
      </w:r>
    </w:p>
    <w:p>
      <w:r>
        <w:t>在附件一计费规则中明确定义：“自然月”指公历日历月；首期统计周期自服务开通日起算至开通日后第一个自然月最后一日止。</w:t>
      </w:r>
    </w:p>
    <w:p>
      <w:r>
        <w:t>5. **（四）合同文本严谨性-检查要点：全文通读校对：排查错别字、标点误用……**</w:t>
      </w:r>
    </w:p>
    <w:p>
      <w:r>
        <w:t>全面规范附件一体例（统一为“一、（一）1.（1）”四级结构），修正“招标单位”为“甲方”、“谈判未及时通知”为“乙方未及时通知”，删除所有空置价格引导语（如“如下所示：”后无内容）。</w:t>
      </w:r>
    </w:p>
    <w:p>
      <w:r>
        <w:t>6. **（四）合同文本严谨性-检查要点：核验合同首部‘甲方/乙方’全称、签署页盖章主体名称、附件落款名称三者是否完全一致**</w:t>
      </w:r>
    </w:p>
    <w:p>
      <w:r>
        <w:t>统一乙方名称括号为中文全角“（”“）”；将附件四标题中错误简称“浙江省农商银行”更正为法定全称“浙江农村商业联合银行”。</w:t>
      </w:r>
    </w:p>
    <w:p>
      <w:pPr>
        <w:pStyle w:val="Heading3"/>
      </w:pPr>
      <w:r>
        <w:t>（三）可后续验证的低风险问题</w:t>
      </w:r>
    </w:p>
    <w:p>
      <w:r>
        <w:t>1. **（一）签约主体合规性-检查要点：通过国家企业信用信息公示系统……核查是否存在未结重大诉讼……**</w:t>
      </w:r>
    </w:p>
    <w:p>
      <w:r>
        <w:t>腾讯云计算(北京)有限责任公司存在历史终本案件及限制高消费记录（非当前在执），建议在签约前由乙方提供结案证明或信用修复说明文件。</w:t>
      </w:r>
    </w:p>
    <w:p>
      <w:r>
        <w:t>2. **（四）合同文本严谨性-检查要点：核查所援引法律法规名称、条款序号是否准确有效……**</w:t>
      </w:r>
    </w:p>
    <w:p>
      <w:r>
        <w:t>合同首部援引《民法典》正确，但建议在附件三、附件六等具体义务条款中补充对应法律依据条款号（如《民法典》第八百四十三条），增强条款合法性支撑。</w:t>
      </w:r>
    </w:p>
    <w:p>
      <w:r>
        <w:t>---</w:t>
      </w:r>
    </w:p>
    <w:p>
      <w:pPr>
        <w:pStyle w:val="Heading2"/>
      </w:pPr>
      <w:r>
        <w:t>附：审查标准覆盖核查表</w:t>
      </w:r>
    </w:p>
    <w:p>
      <w:r>
        <w:t>| 序号 | 审查内容 | 审查状态 |</w:t>
      </w:r>
    </w:p>
    <w:p>
      <w:r>
        <w:t>|------|---------|---------|</w:t>
      </w:r>
    </w:p>
    <w:p>
      <w:r>
        <w:t>| **1** | **核实签约主体的合法存续性、履约适格性及信息一致性** | **✅** |</w:t>
      </w:r>
    </w:p>
    <w:p>
      <w:r>
        <w:t>| 1.1 | 通过国家企业信用信息公示系统或司法大数据平台核查该主体是否存在未结重大诉讼、仲裁、失信、被执行、破产重整等涉法涉诉情形 | ✅ |</w:t>
      </w:r>
    </w:p>
    <w:p>
      <w:r>
        <w:t>| 1.2 | 核对营业执照登记的经营范围，确认合同标的（如软件采购、技术服务等）属于其核准经营范围内 | ✅ |</w:t>
      </w:r>
    </w:p>
    <w:p>
      <w:r>
        <w:t>| 1.3 | 逐项比对合同载明的主体信息（统一社会信用代码、全称、法定代表人/负责人姓名、联系地址、联系电话、传真、联系人）与最新工商 | ✅ |</w:t>
      </w:r>
    </w:p>
    <w:p>
      <w:r>
        <w:t>| 1.4 | 如涉及软件等产品采购，核查卖方是否拥有该软件的核心知识产权（如著作权登记证书、源代码权属说明、授权链条完整性），或明确约 | ✅ |</w:t>
      </w:r>
    </w:p>
    <w:p>
      <w:r>
        <w:t>| **2** | **确保合同核心条款结构完整、要素齐备、逻辑闭环** | **✅** |</w:t>
      </w:r>
    </w:p>
    <w:p>
      <w:r>
        <w:t>| 2.1 | 检查合同是否完整涵盖以下必备条款：采购内容、合同金额、付款计划、合同期限、生效条件、知识产权归属/许可约定、产品质量保证 | ✅ |</w:t>
      </w:r>
    </w:p>
    <w:p>
      <w:r>
        <w:t>| 2.2 | 确认合同中已明确指定主要项目负责人，并完整记载其姓名、身份证号码及有效联系电话 | ✅ |</w:t>
      </w:r>
    </w:p>
    <w:p>
      <w:r>
        <w:t>| 2.3 | 采购内容须具体列明品种、规格、型号、等级、花色等技术参数；若内容复杂，应通过附件形式固化标的物现状、配置清单、技术协议等 | ✅ |</w:t>
      </w:r>
    </w:p>
    <w:p>
      <w:r>
        <w:t>| 2.4 | 合同金额须同时载明数量、单价、总价、计量单位、币种；大小写金额须完全一致；总价须与各分项合计严格吻合 | ✅ |</w:t>
      </w:r>
    </w:p>
    <w:p>
      <w:r>
        <w:t>| 2.5 | 付款计划须明确分期节点（如预付款、到货款、初验款、终验款、质保金）、对应比例/金额、触发条件（如签收单、验收报告、发票开 | ✅ |</w:t>
      </w:r>
    </w:p>
    <w:p>
      <w:r>
        <w:t>| **3** | **确保期限约定精确、无歧义，时间计算规则明确可执行** | **✅** |</w:t>
      </w:r>
    </w:p>
    <w:p>
      <w:r>
        <w:t>| 3.1 | 合同期限须以起止日期或明确时长（如‘自2025年1月1日起至2026年12月31日止’）方式载明，禁止使用‘长期’‘永久 | ✅ |</w:t>
      </w:r>
    </w:p>
    <w:p>
      <w:r>
        <w:t>| 3.2 | 所有时间节点（如交付日、验收日、付款日、维保期起算日）均须明确定义计算基准（如‘自合同生效之日起X个自然日’‘自货物签收 | ✅ |</w:t>
      </w:r>
    </w:p>
    <w:p>
      <w:r>
        <w:t>| 3.3 | 季度、年度等周期性期限须明确起算逻辑（如‘首期为2025年1月1日至2025年3月31日’或‘自起始日起每满三个月为一个 | ✅ |</w:t>
      </w:r>
    </w:p>
    <w:p>
      <w:r>
        <w:t>| **4** | **保障合同文本严谨、准确、内外统一、符合法律文书基本要求** | **✅** |</w:t>
      </w:r>
    </w:p>
    <w:p>
      <w:r>
        <w:t>| 4.1 | 全文通读校对：排查错别字、标点误用、语序混乱、主谓不一致、成分残缺等语病；核查标题层级是否符合‘一、（一）1.（1）’规 | ✅ |</w:t>
      </w:r>
    </w:p>
    <w:p>
      <w:r>
        <w:t>| 4.2 | 核对付款计划各期金额总和是否等于合同总价；大小写金额是否完全一致；数字与文字表述是否统一（如‘壹佰万元整’与‘¥1,00 | ✅ |</w:t>
      </w:r>
    </w:p>
    <w:p>
      <w:r>
        <w:t>| 4.3 | 逐条比对正文与所有附件（技术协议、服务清单、报价明细等）中相同事项（如验收标准、交付物清单、保密义务、违约金比例）的约定 | ✅ |</w:t>
      </w:r>
    </w:p>
    <w:p>
      <w:r>
        <w:t>| 4.4 | 清除招标文件、谈判纪要、询价函等前期流程文件中残留用语（如‘投标单位’‘响应人’‘谈判小组’），统一替换为‘甲方’‘乙方 | ✅ |</w:t>
      </w:r>
    </w:p>
    <w:p>
      <w:r>
        <w:t>| 4.5 | 核验合同首部‘甲方/乙方’全称、签署页盖章主体名称、附件落款名称三者是否完全一致（包括括号、空格、简称与全称混用等细节） | ✅ |</w:t>
      </w:r>
    </w:p>
    <w:p>
      <w:r>
        <w:t>| 4.6 | 核查所援引法律法规名称、条款序号是否准确有效（如《民法典》第五百零九条而非《合同法》），且现行有效（排除已废止法律） | ✅ |</w:t>
      </w:r>
    </w:p>
    <w:p>
      <w:r>
        <w:t>| 4.7 | 确认合同正文末尾独立成行标注‘以下为合同签署栏’或‘以下无正文’字样，且该行之后无任何实质性条款或空白内容 | ✅ |</w:t>
      </w:r>
    </w:p>
    <w:p>
      <w:r>
        <w:t>**覆盖率：19/19（100%）**</w:t>
      </w:r>
    </w:p>
    <w:p>
      <w:r>
        <w:t>---</w:t>
      </w:r>
    </w:p>
    <w:p>
      <w:pPr>
        <w:pStyle w:val="Heading2"/>
      </w:pPr>
      <w:r>
        <w:t>附：Token 消耗统计</w:t>
      </w:r>
    </w:p>
    <w:p>
      <w:r>
        <w:t>| 阶段 | Token 消耗 |</w:t>
      </w:r>
    </w:p>
    <w:p>
      <w:r>
        <w:t>|------|----------|</w:t>
      </w:r>
    </w:p>
    <w:p>
      <w:r>
        <w:t>| 规划（Planner） | 1,883 |</w:t>
      </w:r>
    </w:p>
    <w:p>
      <w:r>
        <w:t>| 审查（Sub-Agents + Reflectors） | 95,189 |</w:t>
      </w:r>
    </w:p>
    <w:p>
      <w:r>
        <w:t>| 汇总（Summarizer） | 20,301 |</w:t>
      </w:r>
    </w:p>
    <w:p>
      <w:r>
        <w:t>| **合计** | **117,373**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