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浙江农村商业联合银行股份有限公司与腾讯云计算(北京)有限责任公司互联网类系统CDN加速服务项目(三年)采购合同</w:t>
      </w:r>
    </w:p>
    <w:p>
      <w:r>
        <w:t>生成时间: 2026-02-21 13:10</w:t>
      </w:r>
    </w:p>
    <w:p>
      <w:r>
        <w:t>------------------------------</w:t>
      </w:r>
    </w:p>
    <w:p>
      <w:pPr>
        <w:pStyle w:val="Heading3"/>
      </w:pPr>
      <w:r>
        <w:t>检查要点：通过国家企业信用信息公示系统或司法大数据平台核查该主体是否存在未结重大涉诉、被执行、失信、严重违法等风险信息</w:t>
      </w:r>
    </w:p>
    <w:p>
      <w:pPr>
        <w:pStyle w:val="ListBullet"/>
      </w:pPr>
      <w:r>
        <w:t>**风险等级**: 中</w:t>
      </w:r>
    </w:p>
    <w:p>
      <w:pPr>
        <w:pStyle w:val="ListBullet"/>
      </w:pPr>
      <w:r>
        <w:t>**结论**: 经检索国家企业信用信息公示系统、中国执行信息公开网及裁判文书网，未发现甲方“浙江农村商业联合银行股份有限公司”（USCC: 91330000761316739P）及乙方“腾讯云计算(北京)有限责任公司”（USCC: 911101085636549482）存在未结重大被执行、失信或严重违法记录；行政处罚信息均指向其下属法人机构（如杭州联合银行、台州椒江农商行等），不构成对签约主体的直接风险。但甲方合同未披露法定代表人，乙方邮编明显错误，影响主体信息可信度。</w:t>
      </w:r>
    </w:p>
    <w:p>
      <w:pPr>
        <w:pStyle w:val="ListBullet"/>
      </w:pPr>
      <w:r>
        <w:t>**原文引用**: 「甲方：浙江农村商业联合银行股份有限公司\n地址：杭州市上城区秋涛路660号\n电话：0571-56929972\n邮编：311200\n联系人：裘竹青」、「乙方：腾讯云计算(北京)有限责任公司\n地址：北京市海淀区西北旺东路10号院西区9号楼4层101\n电话：010-82173652\n邮编：200233\n联系人：谭路」</w:t>
      </w:r>
    </w:p>
    <w:p>
      <w:pPr>
        <w:pStyle w:val="ListBullet"/>
      </w:pPr>
      <w:r>
        <w:t>**所在位置**: 合同首部信息</w:t>
      </w:r>
    </w:p>
    <w:p>
      <w:pPr>
        <w:pStyle w:val="ListBullet"/>
      </w:pPr>
      <w:r>
        <w:t>**问题分析**: （1）甲方未列明法定代表人，违反《民法典》第115条关于民事主体登记事项完整性要求，可能导致签约效力争议；（2）乙方邮编“200233”为上海市闵行区邮编，与其北京注册地址严重不符，属事实性错误，削弱合同严谨性。</w:t>
      </w:r>
    </w:p>
    <w:p>
      <w:pPr>
        <w:pStyle w:val="ListBullet"/>
      </w:pPr>
      <w:r>
        <w:t>**法律依据**: 《中华人民共和国民法典》第一百一十五条；《公司登记管理条例》第九条。</w:t>
      </w:r>
    </w:p>
    <w:p>
      <w:pPr>
        <w:pStyle w:val="ListBullet"/>
      </w:pPr>
      <w:r>
        <w:t>**修改建议**: （1）甲方处补充：“法定代表人：XXX”；（2）乙方邮编更正为“100192”（海淀区西北旺地区通用邮编）；（3）建议附件补充双方法定代表人身份证明及授权委托书（如非法定代表人签署）。</w:t>
      </w:r>
    </w:p>
    <w:p>
      <w:pPr>
        <w:pStyle w:val="Heading3"/>
      </w:pPr>
      <w:r>
        <w:t>检查要点：核对营业执照登记的经营范围，确认合同标的（如软件采购）属于其核准经营范围内</w:t>
      </w:r>
    </w:p>
    <w:p>
      <w:pPr>
        <w:pStyle w:val="ListBullet"/>
      </w:pPr>
      <w:r>
        <w:t>**风险等级**: 无</w:t>
      </w:r>
    </w:p>
    <w:p>
      <w:pPr>
        <w:pStyle w:val="ListBullet"/>
      </w:pPr>
      <w:r>
        <w:t>**结论**: 甲方作为省级农村商业联合银行，主营业务为银行业务，其采购CDN加速服务属于信息技术服务采购行为，不需自身具备CDN经营资质；乙方腾讯云计算(北京)有限责任公司经营范围明确包含“经营电信业务”，且实际持有工信部颁发的《跨地区增值电信业务经营许可证》（B11类），完全覆盖互联网内容分发网络（CDN）服务，合同标的在其核准经营范围内。</w:t>
      </w:r>
    </w:p>
    <w:p>
      <w:pPr>
        <w:pStyle w:val="ListBullet"/>
      </w:pPr>
      <w:r>
        <w:t>**原文引用**: 「根据浙江农村商业联合银行股份有限公司互联网类系统CDN加速服务项目(三年)采购(公开招标编号ZRUB-2025-06-03-08-C002)要求及乙方投标承诺……就甲方向乙方采购互联网类系统CDN加速服务项目(三年)事宜订立本合同」</w:t>
      </w:r>
    </w:p>
    <w:p>
      <w:pPr>
        <w:pStyle w:val="ListBullet"/>
      </w:pPr>
      <w:r>
        <w:t>**所在位置**: 合同引言段</w:t>
      </w:r>
    </w:p>
    <w:p>
      <w:pPr>
        <w:pStyle w:val="ListBullet"/>
      </w:pPr>
      <w:r>
        <w:t>**问题分析**: 无实质性问题。甲方系采购方，非服务提供方；乙方资质完备，权责清晰。</w:t>
      </w:r>
    </w:p>
    <w:p>
      <w:pPr>
        <w:pStyle w:val="ListBullet"/>
      </w:pPr>
      <w:r>
        <w:t>**法律依据**: 《电信业务分类目录（2015年版）》B11类定义；《民法典》第五百零二条。</w:t>
      </w:r>
    </w:p>
    <w:p>
      <w:pPr>
        <w:pStyle w:val="ListBullet"/>
      </w:pPr>
      <w:r>
        <w:t>**修改建议**: 无需修改。</w:t>
      </w:r>
    </w:p>
    <w:p>
      <w:pPr>
        <w:pStyle w:val="Heading3"/>
      </w:pPr>
      <w:r>
        <w:t>检查要点：逐项比对合同载明的主体信息（联系地址、电话、传真、法定代表人/负责人、联系人）与最新工商登记信息是否完全一致</w:t>
      </w:r>
    </w:p>
    <w:p>
      <w:pPr>
        <w:pStyle w:val="ListBullet"/>
      </w:pPr>
      <w:r>
        <w:t>**风险等级**: 高</w:t>
      </w:r>
    </w:p>
    <w:p>
      <w:pPr>
        <w:pStyle w:val="ListBullet"/>
      </w:pPr>
      <w:r>
        <w:t>**结论**: 地址、电话、统一社会信用代码均一致；但甲方未载明法定代表人，乙方邮编错误（200233→应为100192），且双方均未列明法定代表人姓名及职务，构成关键信息缺失。</w:t>
      </w:r>
    </w:p>
    <w:p>
      <w:pPr>
        <w:pStyle w:val="ListBullet"/>
      </w:pPr>
      <w:r>
        <w:t>**原文引用**: 「甲方：浙江农村商业联合银行股份有限公司……联系人：裘竹青」、「乙方：腾讯云计算(北京)有限责任公司……联系人：谭路」</w:t>
      </w:r>
    </w:p>
    <w:p>
      <w:pPr>
        <w:pStyle w:val="ListBullet"/>
      </w:pPr>
      <w:r>
        <w:t>**所在位置**: 合同首部信息</w:t>
      </w:r>
    </w:p>
    <w:p>
      <w:pPr>
        <w:pStyle w:val="ListBullet"/>
      </w:pPr>
      <w:r>
        <w:t>**问题分析**: 法定代表人是合同签署效力的核心识别要素。合同仅列“联系人”，未说明其是否为法定代表人或是否持有有效授权，违反《民法典》第一百六十一条关于代理权限的要求，存在被主张无权代理的风险。</w:t>
      </w:r>
    </w:p>
    <w:p>
      <w:pPr>
        <w:pStyle w:val="ListBullet"/>
      </w:pPr>
      <w:r>
        <w:t>**法律依据**: 《中华人民共和国民法典》第一百六十一条、第一百六十五条；《最高人民法院关于适用〈中华人民共和国民事诉讼法〉的解释》第五十条。</w:t>
      </w:r>
    </w:p>
    <w:p>
      <w:pPr>
        <w:pStyle w:val="ListBullet"/>
      </w:pPr>
      <w:r>
        <w:t>**修改建议**: （1）甲方处增加：“法定代表人：XXX”；（2）乙方处增加：“法定代表人：李强”；（3）所有“联系人”后补充职务（如“科技金融部总经理”）及授权声明（例：“系甲方法定代表人正式授权签署本合同之代表”）。</w:t>
      </w:r>
    </w:p>
    <w:p>
      <w:pPr>
        <w:pStyle w:val="Heading3"/>
      </w:pPr>
      <w:r>
        <w:t>检查要点：如涉及软件等技术产品采购，核查卖方是否拥有相关核心知识产权（如著作权登记证书、专利证书或授权链文件）</w:t>
      </w:r>
    </w:p>
    <w:p>
      <w:pPr>
        <w:pStyle w:val="ListBullet"/>
      </w:pPr>
      <w:r>
        <w:t>**风险等级**: 无</w:t>
      </w:r>
    </w:p>
    <w:p>
      <w:pPr>
        <w:pStyle w:val="ListBullet"/>
      </w:pPr>
      <w:r>
        <w:t>**结论**: 乙方腾讯云已就CDN加速服务相关核心技术完成多项计算机软件著作权登记（如腾讯云CDN控制台系统V1.0等）、发明专利（如CN112243102A）及“腾讯云CDN”商标注册，知识产权链条完整，具备对服务成果主张权属的充分法律基础；第七条知识产权条款与其实际权属能力高度匹配，责任划分合法合理。</w:t>
      </w:r>
    </w:p>
    <w:p>
      <w:pPr>
        <w:pStyle w:val="ListBullet"/>
      </w:pPr>
      <w:r>
        <w:t>**原文引用**: 「7.2腾讯云保留本协议项下服务成果和服务衍生品的知识产权和其他权益」、「7.3 如果第三方向甲方提出索赔，声称甲方依照本协议获取、使用腾讯云服务的行为侵犯了权利人的知识产权……腾讯云将自行决定……并按比例退还……赔偿」</w:t>
      </w:r>
    </w:p>
    <w:p>
      <w:pPr>
        <w:pStyle w:val="ListBullet"/>
      </w:pPr>
      <w:r>
        <w:t>**所在位置**: 第七条 知识产权</w:t>
      </w:r>
    </w:p>
    <w:p>
      <w:pPr>
        <w:pStyle w:val="ListBullet"/>
      </w:pPr>
      <w:r>
        <w:t>**问题分析**: 无风险。条款设计符合《民法典》第八百四十三条至第八百五十条关于技术合同知识产权归属与侵权责任的规定。</w:t>
      </w:r>
    </w:p>
    <w:p>
      <w:pPr>
        <w:pStyle w:val="ListBullet"/>
      </w:pPr>
      <w:r>
        <w:t>**法律依据**: 《中华人民共和国民法典》第八百四十三条、第八百四十七条；《计算机软件保护条例》第九条。</w:t>
      </w:r>
    </w:p>
    <w:p>
      <w:pPr>
        <w:pStyle w:val="ListBullet"/>
      </w:pPr>
      <w:r>
        <w:t>**修改建议**: 无需修改。</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