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独立合同审查报告</w:t>
      </w:r>
    </w:p>
    <w:p>
      <w:r>
        <w:t>审查对象: 互联网类系统CDN加速服务（三年）采购合同HT-ZRUB-2025-07-01-08-C002</w:t>
      </w:r>
    </w:p>
    <w:p>
      <w:r>
        <w:t>生成时间: 2026-02-06 09:18</w:t>
      </w:r>
    </w:p>
    <w:p>
      <w:r>
        <w:t>------------------------------</w:t>
      </w:r>
    </w:p>
    <w:p>
      <w:r>
        <w:t>{"封面": {"合同名称": "互联网类系统CDN加速服务项目(三年)采购合同", "甲方": "浙江农村商业联合银行股份有限公司", "乙方": "腾讯云计算(北京)有限责任公司", "签订地点": "杭州市", "签订日期": "2025年  月  日"}, "第一章": {"通则": ["1.1 腾讯云服务定义和范围","1.2 腾讯云作为中立的技术服务提供者与甲方责任","1.3 协议基础性约定及法律约束力","1.4 遵守当地法律法规"]}, "第二章": {"账号": ["2.1 注册腾讯云账号","2.2 真实身份核验","2.3 账号安全措施","2.4 内部管理制度","2.5 账号信息更新","2.6 账号注销","2.7 双方遵守国家法律法规、政策规范义务"]}, "第三章": {"服务": ["3.1 服务开通","3.2 服务费用","3.3 服务支持","3.4 服务中止、变更、终止"]}, "第四章": {"第三方产品或服务": ["4.1 获取使用第三方产品或服务","4.2 关联公司提供服务及权利义务转让"]}, "第五章": {"网络安全和网络秩序": ["5.1 遵守法律法规维护网络安全","5.2 安全保护措施","5.3 腾讯云应对网络安全事件","5.4 腾讯云履行信息网络安全管理法定义务","5.5 监测识别处置涉电信网络诈骗","5.6 甲方遵循所适用法律规范","5.7 合法使用腾讯云服务","5.8 不得危害腾讯云经营稳定性和安全性","5.9 侵权投诉处置流程","5.10 违法违规行为处理"]}, "第六章": {"用户业务数据": ["6.1 用户业务数据归属","6.2 数据备份责任","6.3 服务期限届满的数据清理","6.4 遵循数据安全和个人信息保护法律法规","6.5 腾讯云对用户业务数据的安全保障"]}, "第七章": {"知识产权": ["7.1 提供资料和技术的知识产权","7.2 服务成果和服务衍生品的知识产权","7.3 第三方索赔处理"]}, "第八章": {"保密信息": ["8.1 保密信息定义","8.2 保密信息内容","8.3 保密义务","8.4 例外情况","8.5 法律披露","8.6 保密义务持续有效","8.7 保密信息泄露赔偿"]}, "第九章": {"违约责任": ["9.1 违约责任","9.2 甲方保证提交资料未侵犯第三方权益","9.3 损害赔偿责任限制"]}, "第十章": {"不可抗力及免责": ["10.1 不可抗力定义","10.2 因不可抗力无法履约不视为违约","10.3 不可抗力通知义务","10.4 不可抗力导致长期无法履约时的协商机制","10.5 互联网和云服务特性下的非违约情形","10.6 甲方非授权使用或不当操作的责任"]}, "第十一章": {"通知和送达": ["11.1 通知方式","11.2 通知订阅工具","11.3 通知发送方式"]}, "第十二章": {"协议更新": ["12.1 协议调整","12.2 协议条款变更的有效形式"]}, "第十三章": {"法律适用及争议解决": ["13.1 协议签订地","13.2 法律适用","13.3 争议解决"]}, "第十四章": {"其他": ["14.1 成功案例展示授权","14.2 天数及货币单位"]}, "附件": {"附件一": "合同内容清单","附件二": "工作任务说明书","附件三": "产品服务协议","附件四": "信息化建设保密协议","附件五": "供应商廉洁承诺书","附件六": "购买/使用腾讯云境外服务附录"}}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本报告由 AI 法律顾问系统生成，仅供参考，不构成正式法律意见。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独立法律审查报告 | Independent Legal Review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