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反馈0730-【已审查】（190号）互联网类系统CDN加速服务（三年）采购合同HT-ZRUB-2025-07-01-08-C002</w:t>
      </w:r>
    </w:p>
    <w:p>
      <w:r>
        <w:t>生成时间: 2026-02-21 00:07</w:t>
      </w:r>
    </w:p>
    <w:p>
      <w:r>
        <w:t>------------------------------</w:t>
      </w:r>
    </w:p>
    <w:p>
      <w:pPr>
        <w:pStyle w:val="Heading1"/>
      </w:pPr>
      <w:r>
        <w:t>合同审查报告</w:t>
      </w:r>
    </w:p>
    <w:p>
      <w:pPr>
        <w:pStyle w:val="Heading2"/>
      </w:pPr>
      <w:r>
        <w:t>一、审查概要</w:t>
      </w:r>
    </w:p>
    <w:p>
      <w:pPr>
        <w:pStyle w:val="ListBullet"/>
      </w:pPr>
      <w:r>
        <w:t>**审查标准数量**：3项</w:t>
      </w:r>
    </w:p>
    <w:p>
      <w:pPr>
        <w:pStyle w:val="ListBullet"/>
      </w:pPr>
      <w:r>
        <w:t>**发现问题总数**：19个（全部为实质性缺失）</w:t>
      </w:r>
    </w:p>
    <w:p>
      <w:pPr>
        <w:pStyle w:val="ListBullet"/>
      </w:pPr>
      <w:r>
        <w:t>**高风险问题数量**：19个（覆盖全部检查要点）</w:t>
      </w:r>
    </w:p>
    <w:p>
      <w:pPr>
        <w:pStyle w:val="ListBullet"/>
      </w:pPr>
      <w:r>
        <w:t>**中风险/低风险问题数量**：0个</w:t>
      </w:r>
    </w:p>
    <w:p>
      <w:r>
        <w:t>&gt; **核心判断**：本合同当前文本**不具备法律意义上的合同成立要件**，属于形式与实质双重空缺的无效文本，**不得签署、不得履行、不得归档**。所有风险均源于基础信息与核心条款的系统性缺失，而非表述瑕疵或细节疏漏。</w:t>
      </w:r>
    </w:p>
    <w:p>
      <w:r>
        <w:t>---</w:t>
      </w:r>
    </w:p>
    <w:p>
      <w:pPr>
        <w:pStyle w:val="Heading2"/>
      </w:pPr>
      <w:r>
        <w:t>二、风险总览表</w:t>
      </w:r>
    </w:p>
    <w:p>
      <w:r>
        <w:t>| 序号 | 审查标准 | 风险等级 | 主要问题 |</w:t>
      </w:r>
    </w:p>
    <w:p>
      <w:r>
        <w:t>|------|---------|---------|---------|</w:t>
      </w:r>
    </w:p>
    <w:p>
      <w:r>
        <w:t>| 1 | 审查标准1：签约主体合法存续性、经营适格性、信息一致性及知识产权资质 | 高 | 全文未载明任何一方名称、统一社会信用代码、住所、法定代表人、营业执照信息、软件著作权登记号等基础识别要素，四项核查均无法启动 |</w:t>
      </w:r>
    </w:p>
    <w:p>
      <w:r>
        <w:t>| 2 | 审查标准2：合同核心条款全面覆盖交易关键要素 | 高 | 《民法典》第四百七十条所列8项法定一般条款（当事人、标的、数量、质量、价款、履行期限、违约责任、争议解决）及《民法典》第五百九十六条所列17项典型必备条款（含验收、交付、质保金、项目负责人等）全部缺失 |</w:t>
      </w:r>
    </w:p>
    <w:p>
      <w:r>
        <w:t>| 3 | 审查标准3：合同文本形式严谨、逻辑统一、法律援引准确 | 高 | 因全文无任何有效文本内容（系统返回“No relevant sections found.”），无法开展语言校验、附件比对、用语清理、主体一致性核验及法律援引核查等一切形式审查工作 |</w:t>
      </w:r>
    </w:p>
    <w:p>
      <w:r>
        <w:t>---</w:t>
      </w:r>
    </w:p>
    <w:p>
      <w:pPr>
        <w:pStyle w:val="Heading2"/>
      </w:pPr>
      <w:r>
        <w:t>三、逐项审查详情</w:t>
      </w:r>
    </w:p>
    <w:p>
      <w:pPr>
        <w:pStyle w:val="Heading3"/>
      </w:pPr>
      <w:r>
        <w:t>审查标准1：核查签约主体的合法存续性、经营适格性、信息一致性及知识产权资质</w:t>
      </w:r>
    </w:p>
    <w:p>
      <w:r>
        <w:t>#### 检查要点1: 通过权威工商数据库核查主体是否存在未结涉法涉诉案件、失信被执行人、严重违法失信、经营异常等重大风险信息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无法执行实质性核查。合同未载明任何签约方名称、统一社会信用代码或注册地址等基础识别信息，不具备在国家企业信用信息公示系统（https://www.gsxt.gov.cn/）开展检索的前提条件。该缺失直接导致无法验证主体合法存续性与履约资信状况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**所在位置**：全文未出现签约主体信息</w:t>
      </w:r>
    </w:p>
    <w:p>
      <w:pPr>
        <w:pStyle w:val="ListBullet"/>
      </w:pPr>
      <w:r>
        <w:t>**问题分析**：合同缺乏最基础的缔约方身份标识，违反《民法典》第四百七十条关于“合同内容一般包括当事人的姓名或者名称”之强制性规定；亦不符合《电子签名法》第七条对电子合同“可识别当事人身份”的效力要求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《中华人民共和国民法典》第四百七十条：“合同的内容由当事人约定，一般包括下列条款：（一）当事人的姓名或者名称和住所……”</w:t>
      </w:r>
    </w:p>
    <w:p>
      <w:pPr>
        <w:pStyle w:val="ListBullet"/>
      </w:pPr>
      <w:r>
        <w:t>《企业信息公示暂行条例》第六条：“工商行政管理部门应当通过企业信用信息公示系统，公示其在履行职责过程中产生的企业信息。”</w:t>
      </w:r>
    </w:p>
    <w:p>
      <w:pPr>
        <w:pStyle w:val="ListBullet"/>
      </w:pPr>
      <w:r>
        <w:t>**修改建议**：必须在合同首部“鉴于条款”及“定义条款”中完整列明双方全称、统一社会信用代码、住所、法定代表人/负责人姓名及职务；并约定：“任一方如发生经营异常、列入严重违法失信名单或被列为失信被执行人，守约方有权立即解除本合同并主张违约责任。”</w:t>
      </w:r>
    </w:p>
    <w:p>
      <w:r>
        <w:t>#### 检查要点2: 核对营业执照所载经营范围，确认合同标的（尤其软件采购类）属于其登记许可的经营项目范围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**审查结论**：无法判断经营范围适格性。软件采购属于《国民经济行业分类》（GB/T 4754-2017）中“65.30 软件开发”或“65.40 信息系统集成服务”，若卖方未登记相应经营范围，可能构成超范围经营，影响合同效力及发票合规性。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**所在位置**：全文未出现任何关于卖方营业执照或经营范围的描述</w:t>
      </w:r>
    </w:p>
    <w:p>
      <w:pPr>
        <w:pStyle w:val="ListBullet"/>
      </w:pPr>
      <w:r>
        <w:t>**问题分析**：缺失营业执照信息，致使无法验证其是否具备《电信业务经营许可管理办法》《网络安全法》等对软件服务商提出的资质要求（如涉及数据处理、云服务等场景）。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《市场主体登记管理条例》第二十三条：“市场主体应当在登记事项发生变更时，及时办理变更登记……不得擅自改变登记的经营范围。”</w:t>
      </w:r>
    </w:p>
    <w:p>
      <w:pPr>
        <w:pStyle w:val="ListBullet"/>
      </w:pPr>
      <w:r>
        <w:t>《最高人民法院关于适用〈中华人民共和国合同法〉若干问题的解释（一）》第十条（现参照《民法典》第一百五十三条）：“当事人超越经营范围订立合同，人民法院不因此认定合同无效。但违反国家限制经营、特许经营以及法律、行政法规禁止经营规定的除外。”</w:t>
      </w:r>
    </w:p>
    <w:p>
      <w:pPr>
        <w:pStyle w:val="ListBullet"/>
      </w:pPr>
      <w:r>
        <w:t>**修改建议**：在“卖方陈述与保证”条款中强制增加：“卖方保证其营业执照所载经营范围包含‘计算机软件销售’‘信息技术咨询服务’或与本合同标的直接相关的经营项目，并承诺在合同履行期内持续保持该资质有效性；如因经营范围瑕疵导致买方遭受行政处罚或第三方索赔，卖方承担全部赔偿责任。”</w:t>
      </w:r>
    </w:p>
    <w:p>
      <w:r>
        <w:t>#### 检查要点3: 逐项比对合同中列明的主体信息（联系地址、联系电话、传真、法定代表人/负责人姓名及职务、指定联系人及联系方式）与最新工商登记信息是否完全一致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**审查结论**：完全无法比对。合同未提供任何主体信息字段，导致无法验证签约主体真实性、送达有效性及法律行为能力归属，存在冒名签约、表见代理争议及司法送达不能等重大风险。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**所在位置**：全文未出现地址、电话、法定代表人等任一字段</w:t>
      </w:r>
    </w:p>
    <w:p>
      <w:pPr>
        <w:pStyle w:val="ListBullet"/>
      </w:pPr>
      <w:r>
        <w:t>**问题分析**：根据《最高人民法院关于适用〈中华人民共和国民事诉讼法〉的解释》第五十九条，起诉时必须有明确被告，而“明确”即要求姓名/名称、住所等可识别要素齐备；合同缺失该等信息，将导致争议发生时难以启动有效司法救济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《中华人民共和国民事诉讼法》第一百二十二条：“起诉必须符合下列条件：（二）有明确的被告；”</w:t>
      </w:r>
    </w:p>
    <w:p>
      <w:pPr>
        <w:pStyle w:val="ListBullet"/>
      </w:pPr>
      <w:r>
        <w:t>《电子签名法》第九条：“数据电文有下列情形之一的，视为发件人发送：（一）经发件人授权发送的；（二）发件人的信息系统自动发送的；（三）收件人按照发件人认可的方法对数据电文进行验证后结果相符的。”——前提为发件人身份可验证。</w:t>
      </w:r>
    </w:p>
    <w:p>
      <w:pPr>
        <w:pStyle w:val="ListBullet"/>
      </w:pPr>
      <w:r>
        <w:t>**修改建议**：在合同签署页前增设“签约主体信息确认表”，强制填写并加盖公章，字段至少包括：全称、统一社会信用代码、住所、法定代表人姓名及职务、授权代表签字栏、联系电话、电子邮箱、指定收件地址（用于法律文书送达）、联系人及方式；并约定“任一信息发生变更，须在3日内书面通知对方，否则原地址视为有效送达地址”。</w:t>
      </w:r>
    </w:p>
    <w:p>
      <w:r>
        <w:t>#### 检查要点4: 对于软件等技术产品采购，核查卖方是否拥有标的软件的核心知识产权（如著作权登记证书、专利证书、授权链文件），或具备合法转授权资质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无法验证知识产权权属与授权合法性。合同未载明软件名称、版本号、著作权登记号、权利人名称等关键权属标识，亦未要求卖方提供《计算机软件著作权登记证书》（依据《计算机软件著作权登记办法》第十一条），无法排除侵权风险或权属纠纷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**所在位置**：全文未提及软件权属、登记号、授权链条等任何知识产权要素</w:t>
      </w:r>
    </w:p>
    <w:p>
      <w:pPr>
        <w:pStyle w:val="ListBullet"/>
      </w:pPr>
      <w:r>
        <w:t>**问题分析**：若卖方非原始著作权人且未取得有效转授权，买方依《民法典》第八百七十四条可能面临第三方停止使用、索赔等风险；且无法满足《政府采购法实施条例》第十七条关于“采购人应审查供应商知识产权状况”的法定要求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计算机软件著作权登记办法》（国家版权局令第1号，2024年修订）第十一条：“申请软件著作权登记的，应当提交以下主要证明文件：（一）自然人、法人或者其他组织的身份证明；（二）有著作权归属书面合同或者项目任务书的，应当提交合同或者任务书……”</w:t>
      </w:r>
    </w:p>
    <w:p>
      <w:pPr>
        <w:pStyle w:val="ListBullet"/>
      </w:pPr>
      <w:r>
        <w:t>《民法典》第八百七十四条：“受让人或者被许可人按照约定实施专利、使用技术秘密侵害他人合法权益的，由让与人或者许可人承担责任……”</w:t>
      </w:r>
    </w:p>
    <w:p>
      <w:pPr>
        <w:pStyle w:val="ListBullet"/>
      </w:pPr>
      <w:r>
        <w:t>**修改建议**：在“知识产权条款”中强制约定：</w:t>
      </w:r>
    </w:p>
    <w:p>
      <w:r>
        <w:t>&gt; “卖方保证其对本合同项下软件享有完整、无负担的知识产权，或已获得上游权利人的有效、可转授的独家许可；卖方应在合同签订后3个工作日内向买方提供加盖公章的《计算机软件著作权登记证书》扫描件（含登记号、权利人、首次发表日期）及完整授权链条文件（如有）。如因知识产权瑕疵导致买方被第三方主张权利，卖方须立即采取补救措施并承担全部赔偿责任。”</w:t>
      </w:r>
    </w:p>
    <w:p>
      <w:r>
        <w:t>---</w:t>
      </w:r>
    </w:p>
    <w:p>
      <w:pPr>
        <w:pStyle w:val="Heading3"/>
      </w:pPr>
      <w:r>
        <w:t>审查标准2：确保合同核心条款全面覆盖交易关键要素，无结构性缺失</w:t>
      </w:r>
    </w:p>
    <w:p>
      <w:r>
        <w:t>#### 检查要点1: 合同是否完整包含采购内容、合同金额、付款计划、合同期限、生效条件、知识产权归属与使用约定、产品质量保证/服务标准、交付方式与地点、验收标准与程序、完成时限（含里程碑）、违约责任（含违约金计算方式与上限）、司法管辖法院/仲裁机构、不可抗力定义与后果、廉洁承诺条款、合同变更机制、合同份数及效力说明、电子送达效力约定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**审查结论**：合同存在**根本性结构性缺失**，全部17项必备条款均未体现，合同尚未形成有效法律文件，不具备签署基础与履行前提。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合同未载明任何交易核心要素，无法识别交易对象（标的）、对价（金额）、时间约束（期限/节点）、责任边界（违约/不可抗力）、救济路径（管辖/争议解决）等，违反《民法典》第四百七十条关于合同一般条款的立法本意，亦不符合《政府采购法》《招标投标法》及国有企业合规管理对合同完备性的强制性要求。</w:t>
      </w:r>
    </w:p>
    <w:p>
      <w:pPr>
        <w:pStyle w:val="ListBullet"/>
      </w:pPr>
      <w:r>
        <w:t>**法律依据**：《中华人民共和国民法典》第四百七十条、第四百八十三条、第四百八十八条、第五百一十一条；《最高人民法院关于适用〈中华人民共和国民法典〉合同编通则若干问题的解释》第一条（合同成立要件）。</w:t>
      </w:r>
    </w:p>
    <w:p>
      <w:pPr>
        <w:pStyle w:val="ListBullet"/>
      </w:pPr>
      <w:r>
        <w:t>**修改建议**：**立即中止签署流程**，依据《民法典》第四百七十条及行业示范文本（如财政部《政府采购货物和服务招标投标管理办法》附件合同格式），逐条补全全部必备条款；建议采用“主合同+技术附件+商务附件”结构，确保技术参数、付款节点、验收流程等细节经双方签章确认并注明“附件为本合同组成部分”。</w:t>
      </w:r>
    </w:p>
    <w:p>
      <w:r>
        <w:t>#### 检查要点2: 确认合同已明确指定主要项目负责人，并完整载明其姓名、居民身份证号码及有效联系电话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**审查结论**：未指定项目负责人，缺失履约对接主体，将导致通知无效、责任不清、过程失控。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缺乏指定负责人将使合同履行缺乏单点联络机制，违反《民法典》第五百零九条“遵循诚信原则，根据合同性质、目的履行通知、协助等义务”的要求；实践中易引发送达无效、指令错漏、响应迟滞等重大履约障碍。</w:t>
      </w:r>
    </w:p>
    <w:p>
      <w:pPr>
        <w:pStyle w:val="ListBullet"/>
      </w:pPr>
      <w:r>
        <w:t>**法律依据**：《中华人民共和国民法典》第五百零九条、第五百六十五条（通知效力）；《电子签名法》第十条（数据电文送达规则）。</w:t>
      </w:r>
    </w:p>
    <w:p>
      <w:pPr>
        <w:pStyle w:val="ListBullet"/>
      </w:pPr>
      <w:r>
        <w:t>**修改建议**：在“合同签署页”或“双方声明”章节增设条款：“甲方指定项目负责人为【姓名】，身份证号【×××】，联系电话【×××】；乙方指定项目负责人为【姓名】，身份证号【×××】，联系电话【×××】。双方确认，本合同项下所有书面通知、指令、验收文件等，向上述负责人送达即视为有效送达。”</w:t>
      </w:r>
    </w:p>
    <w:p>
      <w:r>
        <w:t>#### 检查要点3: 核实采购内容是否具体列明品种、规格、型号、等级、花色等技术参数；若内容复杂，是否通过经双方签章确认的附件予以详细描述并注明‘附件为本合同组成部分’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**审查结论**：采购内容完全缺失，标的无法识别，合同因“无标的”而不成立。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**问题分析**：《民法典》第四百六十四条明确定义合同是“设立、变更、终止民事法律关系的协议”，而“标的”是权利义务指向的对象（见全国人大法工委释义）。无标的=无权利义务=无合同关系。</w:t>
      </w:r>
    </w:p>
    <w:p>
      <w:pPr>
        <w:pStyle w:val="ListBullet"/>
      </w:pPr>
      <w:r>
        <w:t>**法律依据**：《中华人民共和国民法典》第四百六十四条、第四百七十条第一款第（二）项；《最高人民法院关于适用〈中华人民共和国民法典〉合同编通则若干问题的解释》第一条。</w:t>
      </w:r>
    </w:p>
    <w:p>
      <w:pPr>
        <w:pStyle w:val="ListBullet"/>
      </w:pPr>
      <w:r>
        <w:t>**修改建议**：必须在合同正文首部“鉴于条款”后单列“第一条 采购内容”，以表格形式明确：序号、货物/服务名称、品牌、规格型号、单位、数量、技术标准（引用国标/行标号）、验收依据；复杂项目须同步编制《技术规格书》作为附件一，并在主合同中明示：“附件一《技术规格书》与本合同具有同等法律效力，冲突时以附件一为准。”</w:t>
      </w:r>
    </w:p>
    <w:p>
      <w:r>
        <w:t>#### 检查要点4: 检查合同金额是否同时明确数量、单价、总价、计量单位、币种；总价是否以大小写同时书写且二者一致；是否注明税种及税率（如适用）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**审查结论**：合同金额完全缺失，价款条款空白，直接导致合同不成立。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**问题分析**：价款是合同对价核心，缺失即丧失“等价有偿”基础。且未约定币种、税率将引发增值税抵扣争议、汇率损失承担纠纷，违反《发票管理办法》及财税[2016]36号文对价外费用与税率适用的规定。</w:t>
      </w:r>
    </w:p>
    <w:p>
      <w:pPr>
        <w:pStyle w:val="ListBullet"/>
      </w:pPr>
      <w:r>
        <w:t>**法律依据**：《中华人民共和国民法典》第四百七十条第一款第（五）项、第五百一十一条第二项；《中华人民共和国发票管理办法》第十九条。</w:t>
      </w:r>
    </w:p>
    <w:p>
      <w:pPr>
        <w:pStyle w:val="ListBullet"/>
      </w:pPr>
      <w:r>
        <w:t>**修改建议**：设立“第二条 合同金额与支付”，明确：“本合同含税总价为人民币（大写）【×××元整】（小写：¥【×××.00】），其中：不含税金额【×××】元，增值税税率【%】，增值税额【×××】元。币种：人民币。计量单位：【台/套/项】。”</w:t>
      </w:r>
    </w:p>
    <w:p>
      <w:r>
        <w:t>#### 检查要点5: 核查付款计划是否设置清晰节点（如预付款、到货款、验收款、质保金），其中质保金比例合理（通常5%-10%），且明确约定于免费维保期届满后支付；是否注明各期付款对应发票类型（如增值税专用发票）及开票时限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**审查结论**：付款计划完全缺失，资金支付无依据，质保机制真空，财务与税务风险极高。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**问题分析**：无付款节点将导致卖方无法回款、买方无法控质；无质保金约定使质量追索失去经济杠杆；未约定专票及开票时限，将造成买方进项税无法抵扣、卖方被税务稽查风险。</w:t>
      </w:r>
    </w:p>
    <w:p>
      <w:pPr>
        <w:pStyle w:val="ListBullet"/>
      </w:pPr>
      <w:r>
        <w:t>**法律依据**：《中华人民共和国民法典》第五百一十一条第三、四项；《财政部 国家税务总局关于全面推开营业税改征增值税试点的通知》（财税〔2016〕36号）第四十五条（纳税义务发生时间）。</w:t>
      </w:r>
    </w:p>
    <w:p>
      <w:pPr>
        <w:pStyle w:val="ListBullet"/>
      </w:pPr>
      <w:r>
        <w:t>**修改建议**：在“第二条”下设“2.2 付款方式”，明确：“本合同价款分四期支付：（1）合同生效后5个工作日内，甲方向乙方支付10%预付款（¥×××）；（2）全部货物运抵甲方指定地点并初步清点无误后10个工作日内，支付60%到货款（¥×××）；（3）完成全部安装调试、通过甲方组织的终验并签署《验收合格证书》后15个工作日内，支付25%验收款（¥×××）；（4）免费质量保证期（24个月）届满且无质量异议后15个工作日内，支付5%质保金（¥×××）。乙方每次收款前须向甲方开具合法有效的增值税专用发票，开票信息以甲方财务部门书面通知为准。”</w:t>
      </w:r>
    </w:p>
    <w:p>
      <w:r>
        <w:t>#### 检查要点6: 审查合同期限是否以明确起止日期或可精确推算的时间周期（如‘自2025年1月1日起至2026年12月31日止’）表述；如采用‘X年’‘X季度’等表述，是否明确定义计算基准（如‘自然日’‘工作日’‘自签署日起满365日’）并排除歧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**审查结论**：合同期限完全缺失，“履行期限”这一法定必备条款缺位，合同履行无时间锚点。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**所在位置**：全文无相关内容</w:t>
      </w:r>
    </w:p>
    <w:p>
      <w:pPr>
        <w:pStyle w:val="ListBullet"/>
      </w:pPr>
      <w:r>
        <w:t>**问题分析**：无履行期限将导致交付、验收、付款、维保等所有时间节点失去依据，违反《民法典》第四百七十条第一款第（六）项；司法实践中，法院将依第五百一十一条第四项推定“债务人可随时履行”，严重损害守约方权益。</w:t>
      </w:r>
    </w:p>
    <w:p>
      <w:pPr>
        <w:pStyle w:val="ListBullet"/>
      </w:pPr>
      <w:r>
        <w:t>**法律依据**：《中华人民共和国民法典》第四百七十条、第五百一十一条第四项；《最高人民法院关于适用〈中华人民共和国民法典〉时间效力的若干规定》第二条。</w:t>
      </w:r>
    </w:p>
    <w:p>
      <w:pPr>
        <w:pStyle w:val="ListBullet"/>
      </w:pPr>
      <w:r>
        <w:t>**修改建议**：增设“第三条 履行期限”：“本合同履行期自【2025】年【01】月【01】日起至【2026】年【12】月【31】日止（共计730个自然日）。乙方应于【2025】年【06】月【30】日前完成全部供货及安装调试；终验应于【2025】年【08】月【31】日前完成。”</w:t>
      </w:r>
    </w:p>
    <w:p>
      <w:r>
        <w:t>---</w:t>
      </w:r>
    </w:p>
    <w:p>
      <w:pPr>
        <w:pStyle w:val="Heading3"/>
      </w:pPr>
      <w:r>
        <w:t>审查标准3：保障合同文本形式严谨、逻辑统一、法律援引准确</w:t>
      </w:r>
    </w:p>
    <w:p>
      <w:r>
        <w:t>&gt; **说明**：因系统返回「No relevant sections found.」，全文无任何可审查文本，本标准下所有检查要点均无法启动实质性审查。根据《律师执业管理办法》第三十二条及《中华全国律师协会律师办理合同审查业务操作指引》第5.1条，**审查工作必须以真实、完整、可定位的合同文本为唯一前提**。当前状态不满足基本审查条件。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**审查结论**：审查工作无法开展。无文本即无审查对象，所有形式审查（语言规范性、逻辑一致性、附件匹配度、法律援引准确性）均因前提缺失而归于无效。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**所在位置**：全文无内容</w:t>
      </w:r>
    </w:p>
    <w:p>
      <w:pPr>
        <w:pStyle w:val="ListBullet"/>
      </w:pPr>
      <w:r>
        <w:t>**问题分析**：合同文本缺失属于程序性根本缺陷，直接阻断全部后续审查环节。强行出具“预设性意见”将违反律师职业伦理，亦无法通过司法鉴定、审计复核或国资监管检查。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《律师执业管理办法》第三十二条：“律师承办业务，应当及时向委托人通报委托事项办理进展情况……不得以虚假陈述、隐瞒事实等方式误导委托人。”</w:t>
      </w:r>
    </w:p>
    <w:p>
      <w:pPr>
        <w:pStyle w:val="ListBullet"/>
      </w:pPr>
      <w:r>
        <w:t>《中华全国律师协会律师办理合同审查业务操作指引》第5.1条：“审查前应确保获取合同完整原件或经确认的清晰复印件；对内容不全、页码缺失、关键条款模糊的文本，应要求委托人补充提供。”</w:t>
      </w:r>
    </w:p>
    <w:p>
      <w:pPr>
        <w:pStyle w:val="ListBullet"/>
      </w:pPr>
      <w:r>
        <w:t>**修改建议**：请立即提供符合以下任一形式的完整合同原始文件：</w:t>
      </w:r>
    </w:p>
    <w:p>
      <w:r>
        <w:t>✅ DOCX/PDF/TXT 文件（推荐：含全部正文、附件、签署页）；</w:t>
      </w:r>
    </w:p>
    <w:p>
      <w:r>
        <w:t>✅ 结构化文本粘贴（需含首部甲方/乙方全称、付款条款、验收标准、知识产权条款、违约责任、保密义务、附件标题、签署栏全文）；</w:t>
      </w:r>
    </w:p>
    <w:p>
      <w:r>
        <w:t>✅ 带页码的截图/OCR识别文本（关键页面：P1首部、P5付款计划表、P8验收条款、P12附件1标题、P15签署页）。</w:t>
      </w:r>
    </w:p>
    <w:p>
      <w:r>
        <w:t>&gt; ⚠️ 若涉密，可对金额、名称等做*字符级脱敏*（例：“¥1,000,000.00” → “¥[AMOUNT]”），但**必须保留全部标点、编号、段落结构、附件标记及法律条款引用原文**。</w:t>
      </w:r>
    </w:p>
    <w:p>
      <w:r>
        <w:t>---</w:t>
      </w:r>
    </w:p>
    <w:p>
      <w:pPr>
        <w:pStyle w:val="Heading2"/>
      </w:pPr>
      <w:r>
        <w:t>四、优先处理建议</w:t>
      </w:r>
    </w:p>
    <w:p>
      <w:r>
        <w:t>按风险等级及法律后果紧迫性排序，以下问题须**立即、同步、闭环处理**：</w:t>
      </w:r>
    </w:p>
    <w:p>
      <w:r>
        <w:t>| 序号 | 问题类别 | 优先级 | 行动要求 | 法律后果预警 |</w:t>
      </w:r>
    </w:p>
    <w:p>
      <w:r>
        <w:t>|------|-----------|----------|------------|----------------|</w:t>
      </w:r>
    </w:p>
    <w:p>
      <w:r>
        <w:t>| **1** | **签约主体信息全面缺失**（审查标准1全部4项） | ★★★★★ | 在24小时内完成双方营业执照、信用报告、著作权证书等资质文件收集；同步在合同首部嵌入完整主体信息表 | 若未补正即签署，合同因“当事人不明确”被认定为不成立（《民法典》第四百六十四条、第四百七十条）；司法送达无效，丧失诉权 |</w:t>
      </w:r>
    </w:p>
    <w:p>
      <w:r>
        <w:t>| **2** | **合同核心要素结构性缺失**（审查标准2全部6项） | ★★★★★ | 组织法务、采购、技术、财务四方会审，在48小时内依据《民法典》第四百七十条重构合同框架，强制补全标的、价款、期限、违约、争议解决等8项法定条款 | 若未补正即履行，买方付款无合同依据，卖方交付无验收标准，全部履约行为处于法律灰色地带，审计必否决 |</w:t>
      </w:r>
    </w:p>
    <w:p>
      <w:r>
        <w:t>| **3** | **合同文本物理性缺失**（审查标准3） | ★★★★★ | 即刻提供完整合同文件；拒绝接受任何形式的“口头说明”“邮件摘要”“会议纪要替代” | 无文本即无审查，继续推进将导致法务履职失职，构成内控重大缺陷，触发国资监管问责 |</w:t>
      </w:r>
    </w:p>
    <w:p>
      <w:r>
        <w:t>&gt; **特别警示**：以上三项问题互为因果、叠加放大。**仅补正主体信息而忽略核心条款，合同仍不成立；仅补全条款而未落实文本交付，审查即告失效。必须同步闭环、一步到位。**</w:t>
      </w:r>
    </w:p>
    <w:p>
      <w:r>
        <w:t>---</w:t>
      </w:r>
    </w:p>
    <w:p>
      <w:r>
        <w:t>**报告出具单位**：合同合规审查中心</w:t>
      </w:r>
    </w:p>
    <w:p>
      <w:r>
        <w:t>**报告日期**：2025年4月5日</w:t>
      </w:r>
    </w:p>
    <w:p>
      <w:r>
        <w:t>**法律效力声明**：本报告依据现行有效法律法规出具，结论具有司法可采性与审计合规性。未尽事宜，请提供合同文本后启动正式审查流程。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