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独立合同审查报告</w:t>
      </w:r>
    </w:p>
    <w:p>
      <w:r>
        <w:t>审查对象: 反馈0730-【已审查】（190号）互联网类系统CDN加速服务（三年）采购合同HT-ZRUB-2025-07-01-08-C002</w:t>
      </w:r>
    </w:p>
    <w:p>
      <w:r>
        <w:t>生成时间: 2026-02-21 11:43</w:t>
      </w:r>
    </w:p>
    <w:p>
      <w:r>
        <w:t>------------------------------</w:t>
      </w:r>
    </w:p>
    <w:p>
      <w:pPr>
        <w:pStyle w:val="Heading1"/>
      </w:pPr>
      <w:r>
        <w:t>合同审查报告</w:t>
      </w:r>
    </w:p>
    <w:p>
      <w:pPr>
        <w:pStyle w:val="Heading2"/>
      </w:pPr>
      <w:r>
        <w:t>一、审查概要</w:t>
      </w:r>
    </w:p>
    <w:p>
      <w:pPr>
        <w:pStyle w:val="ListBullet"/>
      </w:pPr>
      <w:r>
        <w:t>**审查标准总数**：7项</w:t>
      </w:r>
    </w:p>
    <w:p>
      <w:pPr>
        <w:pStyle w:val="ListBullet"/>
      </w:pPr>
      <w:r>
        <w:t>**发现问题总数**：32处</w:t>
      </w:r>
    </w:p>
    <w:p>
      <w:pPr>
        <w:pStyle w:val="ListBullet"/>
      </w:pPr>
      <w:r>
        <w:t>**高风险问题数量**：11处（含主体适格性结构性缺陷、生效条件缺失、交付方式空白、尾款机制缺位、税率税目未约定、附件冲突、标题层级错误、金额加总无法核验、验收标准不一致、法律依据引用失效、签署栏无规范标识）</w:t>
      </w:r>
    </w:p>
    <w:p>
      <w:pPr>
        <w:pStyle w:val="ListBullet"/>
      </w:pPr>
      <w:r>
        <w:t>**中风险问题数量**：15处（含计费定义模糊、付款节点依赖外部规则、知识产权披露不足、完成时限缺失、项目负责人信息空白、技术参数未结构化、计量单位未定义、开票时点错位、期限单位混用、称谓不统一、前置流程用语残留等）</w:t>
      </w:r>
    </w:p>
    <w:p>
      <w:pPr>
        <w:pStyle w:val="ListBullet"/>
      </w:pPr>
      <w:r>
        <w:t>**低风险问题数量**：6处（含经营范围合规、合同期限明确、司法管辖清晰、不可抗力完备、廉洁条款完整、电子送达有效）</w:t>
      </w:r>
    </w:p>
    <w:p>
      <w:r>
        <w:t>---</w:t>
      </w:r>
    </w:p>
    <w:p>
      <w:pPr>
        <w:pStyle w:val="Heading2"/>
      </w:pPr>
      <w:r>
        <w:t>二、风险总览表</w:t>
      </w:r>
    </w:p>
    <w:p>
      <w:r>
        <w:t>| 序号 | 审查标准 | 风险等级 | 主要问题 |</w:t>
      </w:r>
    </w:p>
    <w:p>
      <w:r>
        <w:t>|------|---------|---------|---------|</w:t>
      </w:r>
    </w:p>
    <w:p>
      <w:r>
        <w:t>| 1 | 审查标准1：签约主体的合法存续性与履约适格性 | 高 | 合同全文未载明乙方法定名称、统一社会信用代码、法定代表人、地址等核心信息；甲方资质核验机制完全缺位；知识产权权属未披露，授权链条不明 |</w:t>
      </w:r>
    </w:p>
    <w:p>
      <w:r>
        <w:t>| 2 | 审查标准2：合同核心条款的完整性与结构完备性 | 高 | 生效条件未约定；交付方式与地点空白；完成时限及里程碑缺失；项目负责人信息完全缺失；违约责任体系不完整 |</w:t>
      </w:r>
    </w:p>
    <w:p>
      <w:r>
        <w:t>| 3 | 审查标准3：标的物描述具体、唯一、可执行 | 中 | 计费带宽定义不可验证；技术能力描述无规格支撑；SLA测量方法缺失；附件未以结构化技术规格书形式固化 |</w:t>
      </w:r>
    </w:p>
    <w:p>
      <w:r>
        <w:t>| 4 | 审查标准4：价款条款的准确性、完整性与合规性 | 高 | 合同总价缺失；未明确含税/不含税性质；未注明增值税税率（6%）及税目（信息技术服务）；单价无对应数量，无法形成“单价×数量=总价”逻辑闭环 |</w:t>
      </w:r>
    </w:p>
    <w:p>
      <w:r>
        <w:t>| 5 | 审查标准5：付款节点的确定性、风险对冲性与财税合规性 | 高 | 付款节点依赖乙方单方制定的“服务规则”，缺乏确定性；未预留5%–10%尾款作为履约担保；开票义务绑定付款行为，违反税法关于“发生经营业务即开票”的强制性规定 |</w:t>
      </w:r>
    </w:p>
    <w:p>
      <w:r>
        <w:t>| 6 | 审查标准6：期限表述歧义消除与履行节奏可控 | 中 | “服务开通日期”在附件一与附件三中存在双重定义冲突（甲方系统 vs 乙方系统）；协议“生效日”未定义；“5个工作日内”与第14.2条“天=自然日”冲突 |</w:t>
      </w:r>
    </w:p>
    <w:p>
      <w:r>
        <w:t>| 7 | 审查标准7：文本形式与逻辑一致性校验 | 高 | 第十二条重复出现，第十三条缺失；附件四标题使用简称“浙江省农商银行系统”，与全称不一致；附件一与附件二验收标准矛盾（99% vs 99.9%）；未标注“以下为合同签署栏”；援引法律未更新为《民法典》合同编 |</w:t>
      </w:r>
    </w:p>
    <w:p>
      <w:r>
        <w:t>---</w:t>
      </w:r>
    </w:p>
    <w:p>
      <w:pPr>
        <w:pStyle w:val="Heading2"/>
      </w:pPr>
      <w:r>
        <w:t>三、逐项审查详情</w:t>
      </w:r>
    </w:p>
    <w:p>
      <w:pPr>
        <w:pStyle w:val="Heading3"/>
      </w:pPr>
      <w:r>
        <w:t>审查标准1：核查签约主体的合法存续性与履约适格性</w:t>
      </w:r>
    </w:p>
    <w:p>
      <w:r>
        <w:t>#### 检查要点1: 通过国家企业信用信息公示系统或司法大数据平台，核查该主体是否存在未结重大诉讼、仲裁、被执行、失信、严重违法等涉法涉诉记录</w:t>
      </w:r>
    </w:p>
    <w:p>
      <w:pPr>
        <w:pStyle w:val="ListBullet"/>
      </w:pPr>
      <w:r>
        <w:t>**风险等级**：低</w:t>
      </w:r>
    </w:p>
    <w:p>
      <w:pPr>
        <w:pStyle w:val="ListBullet"/>
      </w:pPr>
      <w:r>
        <w:t>**审查结论**：主体存在少量小额执行案件（如25元、8万元），但无“失信被执行人”“严重违法失信名单”“经营异常”记录；所有案件均属普通民事纠纷，未见影响其履约能力的重大未结诉讼或仲裁。</w:t>
      </w:r>
    </w:p>
    <w:p>
      <w:pPr>
        <w:pStyle w:val="ListBullet"/>
      </w:pPr>
      <w:r>
        <w:t>**原文引用**：合同中**未列明任何签约主体工商信息或法律身份条款**，无法从合同文本直接识别乙方全称、统一社会信用代码等关键字段。</w:t>
      </w:r>
    </w:p>
    <w:p>
      <w:pPr>
        <w:pStyle w:val="ListBullet"/>
      </w:pPr>
      <w:r>
        <w:t>**所在位置**：整份合同（尤其第二条、第七条）通篇使用“腾讯云”“乙方”等模糊指代，缺乏《民法典》第470条要求的“当事人名称/姓名”这一必备条款。</w:t>
      </w:r>
    </w:p>
    <w:p>
      <w:pPr>
        <w:pStyle w:val="ListBullet"/>
      </w:pPr>
      <w:r>
        <w:t>**问题分析**：合同未载明签约主体法定名称、统一社会信用代码、住所等核心信息，导致无法在签约时完成基础主体核验，构成**重大形式瑕疵**；用户（甲方）签署时实为与一个未明示法律实体缔约，存在主体不明、权责不清、争议管辖困难等法律风险。</w:t>
      </w:r>
    </w:p>
    <w:p>
      <w:pPr>
        <w:pStyle w:val="ListBullet"/>
      </w:pPr>
      <w:r>
        <w:t>**法律依据**：</w:t>
      </w:r>
    </w:p>
    <w:p>
      <w:pPr>
        <w:pStyle w:val="ListBullet"/>
      </w:pPr>
      <w:r>
        <w:t>《中华人民共和国民法典》第470条：“合同的内容由当事人约定，一般包括下列条款：（一）当事人的姓名或者名称和住所……”</w:t>
      </w:r>
    </w:p>
    <w:p>
      <w:pPr>
        <w:pStyle w:val="ListBullet"/>
      </w:pPr>
      <w:r>
        <w:t>《电子签名法》第13条：“电子签名同时符合下列条件的，视为可靠的电子签名：……（三）签署后对电子签名的任何改动能够被发现；（四）签署后对数据电文内容和形式的任何改动能够被发现。”——主体信息缺失将导致电子签约效力存疑。</w:t>
      </w:r>
    </w:p>
    <w:p>
      <w:pPr>
        <w:pStyle w:val="ListBullet"/>
      </w:pPr>
      <w:r>
        <w:t>**修改建议**：</w:t>
      </w:r>
    </w:p>
    <w:p>
      <w:r>
        <w:t>在合同**首部“鉴于条款”或第一条“定义与解释”之后**，必须增设独立条款“签约主体信息”，明确载明：</w:t>
      </w:r>
    </w:p>
    <w:p>
      <w:r>
        <w:t>&gt; “乙方：深圳市腾讯计算机系统有限公司</w:t>
      </w:r>
    </w:p>
    <w:p>
      <w:r>
        <w:t>&gt; 统一社会信用代码：91440300708461136T</w:t>
      </w:r>
    </w:p>
    <w:p>
      <w:r>
        <w:t>&gt; 法定代表人：马化腾</w:t>
      </w:r>
    </w:p>
    <w:p>
      <w:r>
        <w:t>&gt; 注册地址：广东省深圳市南山区粤海街道麻岭社区科技中一路腾讯大厦35层</w:t>
      </w:r>
    </w:p>
    <w:p>
      <w:r>
        <w:t>&gt; 营业执照有效期：长期</w:t>
      </w:r>
    </w:p>
    <w:p>
      <w:r>
        <w:t>&gt; ICP备案号：粤B2-20090059”</w:t>
      </w:r>
    </w:p>
    <w:p>
      <w:r>
        <w:t>并同步要求甲方在注册账号时强制填写并核验其完整工商登记信息（非仅“身份信息”），实现双向主体适格性确认。</w:t>
      </w:r>
    </w:p>
    <w:p>
      <w:r>
        <w:t>#### 检查要点2: 核对营业执照所载经营范围，确认合同项下标的（如软件采购）属于其登记的经营范围内，且无超范围经营风险</w:t>
      </w:r>
    </w:p>
    <w:p>
      <w:pPr>
        <w:pStyle w:val="ListBullet"/>
      </w:pPr>
      <w:r>
        <w:t>**风险等级**：无</w:t>
      </w:r>
    </w:p>
    <w:p>
      <w:pPr>
        <w:pStyle w:val="ListBullet"/>
      </w:pPr>
      <w:r>
        <w:t>**审查结论**：深圳市腾讯计算机系统有限公司经营范围明确包含“计算机软、硬件的设计、技术开发、销售”“数据库及计算机网络服务”“信息技术服务”等，完全覆盖云服务、SaaS软件交付、API接口调用等腾讯云核心业务，不存在超范围经营风险。</w:t>
      </w:r>
    </w:p>
    <w:p>
      <w:pPr>
        <w:pStyle w:val="ListBullet"/>
      </w:pPr>
      <w:r>
        <w:t>**原文引用**：「腾讯云账号是腾讯云为甲方提供服务的服务标识，依托账号甲方可以获取相应的腾讯云服务，包括自助购买云服务、查询账单、支付费用、管理资源、接收腾讯云通知等等。」（第二条 2.1款）</w:t>
      </w:r>
    </w:p>
    <w:p>
      <w:pPr>
        <w:pStyle w:val="ListBullet"/>
      </w:pPr>
      <w:r>
        <w:t>**所在位置**：第二条 2.1款</w:t>
      </w:r>
    </w:p>
    <w:p>
      <w:pPr>
        <w:pStyle w:val="ListBullet"/>
      </w:pPr>
      <w:r>
        <w:t>**问题分析**：合同标的（云服务）与其登记经营范围高度匹配；但需注意：合同未区分“云基础设施服务（IaaS）”“平台服务（PaaS）”“软件服务（SaaS）”等具体类型，而腾讯云实际提供混合形态服务，部分SaaS产品（如腾讯会议、腾讯文档）由腾讯旗下其他主体（如腾讯科技（深圳）有限公司）运营，存在**内部授权链条是否完备**的隐性风险。</w:t>
      </w:r>
    </w:p>
    <w:p>
      <w:pPr>
        <w:pStyle w:val="ListBullet"/>
      </w:pPr>
      <w:r>
        <w:t>**法律依据**：</w:t>
      </w:r>
    </w:p>
    <w:p>
      <w:pPr>
        <w:pStyle w:val="ListBullet"/>
      </w:pPr>
      <w:r>
        <w:t>《市场主体登记管理条例》第25条：“市场主体应当按照登记机关核准的经营范围从事经营活动。”</w:t>
      </w:r>
    </w:p>
    <w:p>
      <w:pPr>
        <w:pStyle w:val="ListBullet"/>
      </w:pPr>
      <w:r>
        <w:t>《反不正当竞争法》第12条：禁止利用技术手段妨碍、破坏其他经营者合法提供的网络产品或服务正常运行——若服务超出登记范围，可能被认定为违法经营。</w:t>
      </w:r>
    </w:p>
    <w:p>
      <w:pPr>
        <w:pStyle w:val="ListBullet"/>
      </w:pPr>
      <w:r>
        <w:t>**修改建议**：</w:t>
      </w:r>
    </w:p>
    <w:p>
      <w:r>
        <w:t>在第七条知识产权条款前增加“服务资质声明”条款：</w:t>
      </w:r>
    </w:p>
    <w:p>
      <w:r>
        <w:t>&gt; “乙方确认，其就本协议项下全部云服务（含IaaS、PaaS、SaaS）已依法取得全部必要行政许可、备案及资质证书（包括但不限于IDC/ISP许可证、EDI许可证、ICP许可证、网络安全等级保护备案证明等），并保证服务内容持续符合国家关于云计算服务的监管要求。”</w:t>
      </w:r>
    </w:p>
    <w:p>
      <w:r>
        <w:t>#### 检查要点3: 逐项比对合同中列明的主体信息（联系地址、联系电话、传真、法定代表人/负责人姓名及职务、指定联系人及联系方式）与最新工商登记信息是否完全一致</w:t>
      </w:r>
    </w:p>
    <w:p>
      <w:pPr>
        <w:pStyle w:val="ListBullet"/>
      </w:pPr>
      <w:r>
        <w:t>**风险等级**：高</w:t>
      </w:r>
    </w:p>
    <w:p>
      <w:pPr>
        <w:pStyle w:val="ListBullet"/>
      </w:pPr>
      <w:r>
        <w:t>**审查结论**：**合同中完全未列明任何乙方主体信息**（无地址、电话、法定代表人、联系人等），更遑论与工商登记比对；甲方信息亦仅以“注册腾讯云账号”模糊带过，未强制要求提交营业执照扫描件或工商核验。</w:t>
      </w:r>
    </w:p>
    <w:p>
      <w:pPr>
        <w:pStyle w:val="ListBullet"/>
      </w:pPr>
      <w:r>
        <w:t>**原文引用**：「甲方应当注册腾讯云账号。腾讯云账号是腾讯云为甲方提供服务的服务标识……」（第二条 2.1款）；「甲方应依法具备必要、适当的权利能力和行为能力……提交自身合法、真实、有效的身份信息完成真实身份的核验。」（第二条 2.2款）</w:t>
      </w:r>
    </w:p>
    <w:p>
      <w:pPr>
        <w:pStyle w:val="ListBullet"/>
      </w:pPr>
      <w:r>
        <w:t>**所在位置**：第二条 2.1–2.2款</w:t>
      </w:r>
    </w:p>
    <w:p>
      <w:pPr>
        <w:pStyle w:val="ListBullet"/>
      </w:pPr>
      <w:r>
        <w:t>**问题分析**：</w:t>
      </w:r>
    </w:p>
    <w:p>
      <w:pPr>
        <w:pStyle w:val="ListBullet"/>
      </w:pPr>
      <w:r>
        <w:t>2.2款虽提及“真实身份信息”，但未定义何为“有效身份信息”（自然人身份证？企业营业执照？）；</w:t>
      </w:r>
    </w:p>
    <w:p>
      <w:pPr>
        <w:pStyle w:val="ListBullet"/>
      </w:pPr>
      <w:r>
        <w:t>未设定甲方信息更新义务的具体触发条件（如股权变更、法定代表人更换）；</w:t>
      </w:r>
    </w:p>
    <w:p>
      <w:pPr>
        <w:pStyle w:val="ListBullet"/>
      </w:pPr>
      <w:r>
        <w:t>未约定甲方信息失实的违约责任（如因甲方填报虚假信息导致服务中断、数据泄露等后果的归责机制）。</w:t>
      </w:r>
    </w:p>
    <w:p>
      <w:r>
        <w:t>此属**主体适格性审查机制实质性缺位**，违反《电子商务法》第27条关于平台经营者“核验、登记平台内经营者真实信息”的法定义务。</w:t>
      </w:r>
    </w:p>
    <w:p>
      <w:pPr>
        <w:pStyle w:val="ListBullet"/>
      </w:pPr>
      <w:r>
        <w:t>**法律依据**：</w:t>
      </w:r>
    </w:p>
    <w:p>
      <w:pPr>
        <w:pStyle w:val="ListBullet"/>
      </w:pPr>
      <w:r>
        <w:t>《电子商务法》第27条：“电子商务平台经营者应当要求申请进入平台销售商品或者提供服务的经营者提交其身份、地址、联系方式、行政许可等真实信息，进行核验、登记，建立登记档案，并定期核验更新。”</w:t>
      </w:r>
    </w:p>
    <w:p>
      <w:pPr>
        <w:pStyle w:val="ListBullet"/>
      </w:pPr>
      <w:r>
        <w:t>《民法典》第143条：“具备下列条件的民事法律行为有效：（一）行为人具有相应的民事行为能力……”——主体信息缺失导致无法判断甲方是否具备签约能力。</w:t>
      </w:r>
    </w:p>
    <w:p>
      <w:pPr>
        <w:pStyle w:val="ListBullet"/>
      </w:pPr>
      <w:r>
        <w:t>**修改建议**：</w:t>
      </w:r>
    </w:p>
    <w:p>
      <w:r>
        <w:t>增设“甲方资质承诺与核验”专条：</w:t>
      </w:r>
    </w:p>
    <w:p>
      <w:r>
        <w:t>&gt; “甲方承诺：</w:t>
      </w:r>
    </w:p>
    <w:p>
      <w:r>
        <w:t>&gt; （1）若为机构用户，须在首次注册时上传加盖公章的营业执照副本彩色扫描件、法定代表人身份证正反面扫描件，并通过国家企业信用信息公示系统链接完成自动核验；</w:t>
      </w:r>
    </w:p>
    <w:p>
      <w:r>
        <w:t>&gt; （2）甲方信息发生变更（包括但不限于名称、法定代表人、注册地址、注册资本、股权结构）的，须于变更生效后5个工作日内在腾讯云控制台更新并重新提交核验材料；</w:t>
      </w:r>
    </w:p>
    <w:p>
      <w:r>
        <w:t>&gt; （3）甲方未履行前述义务的，腾讯云有权暂停服务，由此产生的一切损失由甲方自行承担。”</w:t>
      </w:r>
    </w:p>
    <w:p>
      <w:r>
        <w:t>#### 检查要点4: 若合同涉及软件等技术产品采购，须核查卖方是否拥有该软件的核心知识产权（如著作权登记证书、专利证书、授权链条完整性），或明确约定知识产权归属及许可范围</w:t>
      </w:r>
    </w:p>
    <w:p>
      <w:pPr>
        <w:pStyle w:val="ListBullet"/>
      </w:pPr>
      <w:r>
        <w:t>**风险等级**：中</w:t>
      </w:r>
    </w:p>
    <w:p>
      <w:pPr>
        <w:pStyle w:val="ListBullet"/>
      </w:pPr>
      <w:r>
        <w:t>**审查结论**：乙方（腾讯云）作为国内头部云服务商，持有海量软件著作权（如QQ系列、微信系列、云OS系列等），但本协议**未列明具体服务所涉软件名称、版本号、著作权登记号**，仅作笼统免责（7.2款“腾讯云保留……知识产权”），未向甲方披露授权软件的权属状态及授权层级（如是否为独占许可、能否转授权、有无第三方权利限制），存在潜在侵权连带风险。</w:t>
      </w:r>
    </w:p>
    <w:p>
      <w:pPr>
        <w:pStyle w:val="ListBullet"/>
      </w:pPr>
      <w:r>
        <w:t>**原文引用**：「腾讯云保留本协议项下服务成果和服务衍生品的知识产权和其他权益；除本协议另有明确规定外，本协议任何内容均不得解释为授予甲方前述服务成果和服务衍生品的知识产权和其他权益。」（第七条 7.2款）</w:t>
      </w:r>
    </w:p>
    <w:p>
      <w:pPr>
        <w:pStyle w:val="ListBullet"/>
      </w:pPr>
      <w:r>
        <w:t>**所在位置**：第七条 7.2款</w:t>
      </w:r>
    </w:p>
    <w:p>
      <w:pPr>
        <w:pStyle w:val="ListBullet"/>
      </w:pPr>
      <w:r>
        <w:t>**问题分析**：</w:t>
      </w:r>
    </w:p>
    <w:p>
      <w:pPr>
        <w:pStyle w:val="ListBullet"/>
      </w:pPr>
      <w:r>
        <w:t>7.2款单方面声明“保留全部权利”，但未说明哪些是“服务成果”（是API接口？是云主机镜像？是预装操作系统？）；</w:t>
      </w:r>
    </w:p>
    <w:p>
      <w:pPr>
        <w:pStyle w:val="ListBullet"/>
      </w:pPr>
      <w:r>
        <w:t>7.3款虽约定侵权赔偿责任，但免责情形（a-e项）过于宽泛，将“甲方组合使用第三方软件”“未遵循服务规则”等模糊情形全部排除，实质架空乙方知识产权担保义务；</w:t>
      </w:r>
    </w:p>
    <w:p>
      <w:pPr>
        <w:pStyle w:val="ListBullet"/>
      </w:pPr>
      <w:r>
        <w:t>未要求乙方在服务上线前向甲方公示所涉核心软件的著作权登记证书编号及发证机关，不符合《计算机软件保护条例》第7条关于“软件著作权人可以向国务院著作权行政管理部门认定的软件登记机构办理登记”的合规倡导。</w:t>
      </w:r>
    </w:p>
    <w:p>
      <w:pPr>
        <w:pStyle w:val="ListBullet"/>
      </w:pPr>
      <w:r>
        <w:t>**法律依据**：</w:t>
      </w:r>
    </w:p>
    <w:p>
      <w:pPr>
        <w:pStyle w:val="ListBullet"/>
      </w:pPr>
      <w:r>
        <w:t>《计算机软件保护条例》第7条：“软件著作权人可以向国务院著作权行政管理部门认定的软件登记机构办理登记。”</w:t>
      </w:r>
    </w:p>
    <w:p>
      <w:pPr>
        <w:pStyle w:val="ListBullet"/>
      </w:pPr>
      <w:r>
        <w:t>《民法典》第509条：“当事人应当按照约定全面履行自己的义务。”——知识产权归属约定不明，即属“约定不全面”。</w:t>
      </w:r>
    </w:p>
    <w:p>
      <w:pPr>
        <w:pStyle w:val="ListBullet"/>
      </w:pPr>
      <w:r>
        <w:t>**修改建议**：</w:t>
      </w:r>
    </w:p>
    <w:p>
      <w:r>
        <w:t>在第七条中增补：</w:t>
      </w:r>
    </w:p>
    <w:p>
      <w:r>
        <w:t>&gt; “7.4 知识产权透明度义务：乙方应在甲方开通具体云服务（如CVM、COS、TKE等）前，于腾讯云官网‘合规中心’栏目公示该服务所依赖的核心软件清单，包括软件名称、版本号、著作权登记号、登记机关及登记日期。甲方有权要求乙方提供对应著作权登记证书复印件加盖公章。”</w:t>
      </w:r>
    </w:p>
    <w:p>
      <w:r>
        <w:t>&gt; “7.5 授权明确性：对于甲方通过本协议获得的软件使用权（如云服务器预装操作系统、数据库软件等），乙方保证其已获得原著作权人的有效授权，授权范围至少涵盖甲方在本协议约定场景下的使用目的。如因授权瑕疵导致甲方被第三方主张权利的，乙方应承担全部法律责任。”</w:t>
      </w:r>
    </w:p>
    <w:p>
      <w:r>
        <w:t>---</w:t>
      </w:r>
    </w:p>
    <w:p>
      <w:pPr>
        <w:pStyle w:val="Heading3"/>
      </w:pPr>
      <w:r>
        <w:t>审查标准2：审查合同核心条款的完整性与结构完备性</w:t>
      </w:r>
    </w:p>
    <w:p>
      <w:r>
        <w:t>#### 检查要点：生效条件</w:t>
      </w:r>
    </w:p>
    <w:p>
      <w:pPr>
        <w:pStyle w:val="ListBullet"/>
      </w:pPr>
      <w:r>
        <w:t>**风险等级**：高</w:t>
      </w:r>
    </w:p>
    <w:p>
      <w:pPr>
        <w:pStyle w:val="ListBullet"/>
      </w:pPr>
      <w:r>
        <w:t>**审查结论**：合同未明确约定生效条件，仅在第十三条提到"本协议的成立、生效、履行、解释及纠纷解决等，均适用中国大陆法律法规"。</w:t>
      </w:r>
    </w:p>
    <w:p>
      <w:pPr>
        <w:pStyle w:val="ListBullet"/>
      </w:pPr>
      <w:r>
        <w:t>**原文引用**：「本协议的成立、生效、履行、解释及纠纷解决等，均适用中国大陆法律法规（不包括冲突法）。」</w:t>
      </w:r>
    </w:p>
    <w:p>
      <w:pPr>
        <w:pStyle w:val="ListBullet"/>
      </w:pPr>
      <w:r>
        <w:t>**所在位置**：第十三条"法律适用及争议解决"第13.2条</w:t>
      </w:r>
    </w:p>
    <w:p>
      <w:pPr>
        <w:pStyle w:val="ListBullet"/>
      </w:pPr>
      <w:r>
        <w:t>**问题分析**：缺乏明确的生效条件约定，如"本合同自双方签字盖章之日起生效"或"本合同自甲方支付首期款项之日起生效"等，可能导致合同效力不确定性。根据《政府采购法》第四十六条，中标通知书发出后合同即生效。</w:t>
      </w:r>
    </w:p>
    <w:p>
      <w:pPr>
        <w:pStyle w:val="ListBullet"/>
      </w:pPr>
      <w:r>
        <w:t>**法律依据**：</w:t>
      </w:r>
    </w:p>
    <w:p>
      <w:pPr>
        <w:pStyle w:val="ListBullet"/>
      </w:pPr>
      <w:r>
        <w:t>《政府采购法》第四十六条：采购人与中标、成交供应商应当在中标、成交通知书发出之日起三十日内，按照采购文件确定的事项签订政府采购合同；</w:t>
      </w:r>
    </w:p>
    <w:p>
      <w:pPr>
        <w:pStyle w:val="ListBullet"/>
      </w:pPr>
      <w:r>
        <w:t>《民法典》第五百零二条：依法成立的合同，自成立时生效。</w:t>
      </w:r>
    </w:p>
    <w:p>
      <w:pPr>
        <w:pStyle w:val="ListBullet"/>
      </w:pPr>
      <w:r>
        <w:t>**修改建议**：建议在合同开头或专门条款中明确约定生效条件，如"本合同自双方法定代表人或授权代理人签字并加盖公章之日起生效"，并明确与中标通知书的关系。</w:t>
      </w:r>
    </w:p>
    <w:p>
      <w:r>
        <w:t>#### 检查要点：交付方式与地点</w:t>
      </w:r>
    </w:p>
    <w:p>
      <w:pPr>
        <w:pStyle w:val="ListBullet"/>
      </w:pPr>
      <w:r>
        <w:t>**风险等级**：高</w:t>
      </w:r>
    </w:p>
    <w:p>
      <w:pPr>
        <w:pStyle w:val="ListBullet"/>
      </w:pPr>
      <w:r>
        <w:t>**审查结论**：合同未明确约定交付方式和地点，仅提及"服务开通日期"和"计费开始日期"。</w:t>
      </w:r>
    </w:p>
    <w:p>
      <w:pPr>
        <w:pStyle w:val="ListBullet"/>
      </w:pPr>
      <w:r>
        <w:t>**原文引用**：「服务开通日期指乙方为甲方开通CDN服务的日期，服务开通日期以乙方系统记录时间为准。」</w:t>
      </w:r>
    </w:p>
    <w:p>
      <w:pPr>
        <w:pStyle w:val="ListBullet"/>
      </w:pPr>
      <w:r>
        <w:t>**所在位置**：附件三"产品服务协议"第三条第3.2款</w:t>
      </w:r>
    </w:p>
    <w:p>
      <w:pPr>
        <w:pStyle w:val="ListBullet"/>
      </w:pPr>
      <w:r>
        <w:t>**问题分析**：云服务虽为无形交付，但仍需明确服务交付的具体方式（如通过API接口、控制台等）和交付地点（如指定服务器区域），这对责任划分至关重要。联合国国际贸易法委员会建议明确服务地点。</w:t>
      </w:r>
    </w:p>
    <w:p>
      <w:pPr>
        <w:pStyle w:val="ListBullet"/>
      </w:pPr>
      <w:r>
        <w:t>**法律依据**：</w:t>
      </w:r>
    </w:p>
    <w:p>
      <w:pPr>
        <w:pStyle w:val="ListBullet"/>
      </w:pPr>
      <w:r>
        <w:t>《民法典》第五百一十一条：履行地点不明确的，其他标的，在履行义务一方所在地履行；</w:t>
      </w:r>
    </w:p>
    <w:p>
      <w:pPr>
        <w:pStyle w:val="ListBullet"/>
      </w:pPr>
      <w:r>
        <w:t>《政府采购需求管理办法》第十条：采购需求应当明确服务提供的时间、地点、方式等。</w:t>
      </w:r>
    </w:p>
    <w:p>
      <w:pPr>
        <w:pStyle w:val="ListBullet"/>
      </w:pPr>
      <w:r>
        <w:t>**修改建议**：建议明确约定交付方式（如通过腾讯云控制台、API接口等方式）和交付地点（如指定数据中心区域）。</w:t>
      </w:r>
    </w:p>
    <w:p>
      <w:r>
        <w:t>#### 检查要点：完成时限（含里程碑）</w:t>
      </w:r>
    </w:p>
    <w:p>
      <w:pPr>
        <w:pStyle w:val="ListBullet"/>
      </w:pPr>
      <w:r>
        <w:t>**风险等级**：高</w:t>
      </w:r>
    </w:p>
    <w:p>
      <w:pPr>
        <w:pStyle w:val="ListBullet"/>
      </w:pPr>
      <w:r>
        <w:t>**审查结论**：合同未明确约定服务完成时限和里程碑节点，仅约定了服务期限。</w:t>
      </w:r>
    </w:p>
    <w:p>
      <w:pPr>
        <w:pStyle w:val="ListBullet"/>
      </w:pPr>
      <w:r>
        <w:t>**原文引用**：「本协议期限自【2025】年【9】月【1】日起至【2028】年【8】月【31】日止。」</w:t>
      </w:r>
    </w:p>
    <w:p>
      <w:pPr>
        <w:pStyle w:val="ListBullet"/>
      </w:pPr>
      <w:r>
        <w:t>**所在位置**：附件一"合同内容清单"四、协议期限</w:t>
      </w:r>
    </w:p>
    <w:p>
      <w:pPr>
        <w:pStyle w:val="ListBullet"/>
      </w:pPr>
      <w:r>
        <w:t>**问题分析**：缺乏具体的实施进度安排和里程碑节点，不利于项目管理和进度控制。政府采购合同应明确项目实施计划。</w:t>
      </w:r>
    </w:p>
    <w:p>
      <w:pPr>
        <w:pStyle w:val="ListBullet"/>
      </w:pPr>
      <w:r>
        <w:t>**法律依据**：</w:t>
      </w:r>
    </w:p>
    <w:p>
      <w:pPr>
        <w:pStyle w:val="ListBullet"/>
      </w:pPr>
      <w:r>
        <w:t>《政府采购需求管理办法》第十条：采购需求应当明确服务提供的时间、地点、方式等；</w:t>
      </w:r>
    </w:p>
    <w:p>
      <w:pPr>
        <w:pStyle w:val="ListBullet"/>
      </w:pPr>
      <w:r>
        <w:t>《政府采购法实施条例》第十五条：采购需求应当符合国家法律法规以及采购政策规定的技术、服务、安全等要求。</w:t>
      </w:r>
    </w:p>
    <w:p>
      <w:pPr>
        <w:pStyle w:val="ListBullet"/>
      </w:pPr>
      <w:r>
        <w:t>**修改建议**：建议补充实施计划和里程碑节点，如方案沟通完成时间、域名拆分完成时间、正式切换时间等。</w:t>
      </w:r>
    </w:p>
    <w:p>
      <w:r>
        <w:t>#### 检查要点：主要项目负责人信息</w:t>
      </w:r>
    </w:p>
    <w:p>
      <w:pPr>
        <w:pStyle w:val="ListBullet"/>
      </w:pPr>
      <w:r>
        <w:t>**风险等级**：高</w:t>
      </w:r>
    </w:p>
    <w:p>
      <w:pPr>
        <w:pStyle w:val="ListBullet"/>
      </w:pPr>
      <w:r>
        <w:t>**审查结论**：合同未载明任何项目负责人信息，包括姓名、身份证号码、联系电话等。</w:t>
      </w:r>
    </w:p>
    <w:p>
      <w:pPr>
        <w:pStyle w:val="ListBullet"/>
      </w:pPr>
      <w:r>
        <w:t>**原文引用**：合同全文未发现任何关于项目负责人的具体信息。</w:t>
      </w:r>
    </w:p>
    <w:p>
      <w:pPr>
        <w:pStyle w:val="ListBullet"/>
      </w:pPr>
      <w:r>
        <w:t>**所在位置**：全文</w:t>
      </w:r>
    </w:p>
    <w:p>
      <w:pPr>
        <w:pStyle w:val="ListBullet"/>
      </w:pPr>
      <w:r>
        <w:t>**问题分析**：严重缺失，缺乏可追溯性和法律约束力，不利于合同履行过程中的沟通协调和责任追究。政府采购合同应明确项目负责人，便于履约管理。</w:t>
      </w:r>
    </w:p>
    <w:p>
      <w:pPr>
        <w:pStyle w:val="ListBullet"/>
      </w:pPr>
      <w:r>
        <w:t>**法律依据**：</w:t>
      </w:r>
    </w:p>
    <w:p>
      <w:pPr>
        <w:pStyle w:val="ListBullet"/>
      </w:pPr>
      <w:r>
        <w:t>《政府采购需求管理办法》第十条：采购需求应当明确服务提供的时间、地点、方式等；</w:t>
      </w:r>
    </w:p>
    <w:p>
      <w:pPr>
        <w:pStyle w:val="ListBullet"/>
      </w:pPr>
      <w:r>
        <w:t>《政府采购法实施条例》第六十七条：采购人应当按照政府采购合同约定及时向供应商支付采购资金。</w:t>
      </w:r>
    </w:p>
    <w:p>
      <w:pPr>
        <w:pStyle w:val="ListBullet"/>
      </w:pPr>
      <w:r>
        <w:t>**修改建议**：建议在合同中专门条款约定双方项目负责人信息，包括姓名、职务、身份证号码、联系电话、电子邮箱等，并约定该信息变更需书面通知对方。</w:t>
      </w:r>
    </w:p>
    <w:p>
      <w:r>
        <w:t>---</w:t>
      </w:r>
    </w:p>
    <w:p>
      <w:pPr>
        <w:pStyle w:val="Heading3"/>
      </w:pPr>
      <w:r>
        <w:t>审查标准3：确保标的物描述具体、唯一、可执行</w:t>
      </w:r>
    </w:p>
    <w:p>
      <w:r>
        <w:t>#### 检查要点：采购内容是否清晰列明品种、规格、型号、等级、花色等技术参数；定制化标的是否通过附件固化并明确其合同组成地位？</w:t>
      </w:r>
    </w:p>
    <w:p>
      <w:pPr>
        <w:pStyle w:val="ListBullet"/>
      </w:pPr>
      <w:r>
        <w:t>**风险等级**：中</w:t>
      </w:r>
    </w:p>
    <w:p>
      <w:pPr>
        <w:pStyle w:val="ListBullet"/>
      </w:pPr>
      <w:r>
        <w:t>**审查结论**：**标的物描述整体具备基本可执行性，但关键性能参数缺乏量化基准和定义依据，存在重大解释歧义风险；附件虽形式完备，但核心技术指标未以“规格书/配置清单”方式结构化固化，不符合“具体、唯一、可执行”的法定及行业实践要求。**</w:t>
      </w:r>
    </w:p>
    <w:p>
      <w:pPr>
        <w:pStyle w:val="ListBullet"/>
      </w:pPr>
      <w:r>
        <w:t>**原文引用**：</w:t>
      </w:r>
    </w:p>
    <w:p>
      <w:r>
        <w:t>&gt; 「CDN 每日带宽统计点共288个，从当月1号起，每一个有效日（产生消耗）的所有统计点进行排序，去掉前5%的统计点，剩下的最大的统计点，即为计费带宽」（附件一“一.产品优惠报价”）</w:t>
      </w:r>
    </w:p>
    <w:p>
      <w:r>
        <w:t>&gt; 「支持自定义缓存规则，比如不同类型的文件缓存在不同的时间段」（附件一“二、验收要求”第3条）</w:t>
      </w:r>
    </w:p>
    <w:p>
      <w:r>
        <w:t>&gt; 「支持除80、8080、443之外的特殊端口开通，并支持用户侧访问端口和回源端口不一致的配置」（附件一“二、验收要求”第4条）</w:t>
      </w:r>
    </w:p>
    <w:p>
      <w:r>
        <w:t>&gt; 「提供泛域名证书支持招标单位多个域名接入的需求」（附件一“二、验收要求”第5条）</w:t>
      </w:r>
    </w:p>
    <w:p>
      <w:r>
        <w:t>&gt; 「为浙江农村商业联合银行股份有限公司在浙江省内预留10Gbps的节点带宽资源」（附件二“二、工作目标”第3条）</w:t>
      </w:r>
    </w:p>
    <w:p>
      <w:r>
        <w:t>&gt; 「服务可用性达到99.9%，即每月服务不可用时间累计小于44分钟」（附件二“四、服务可用性保证”第1条）</w:t>
      </w:r>
    </w:p>
    <w:p>
      <w:pPr>
        <w:pStyle w:val="ListBullet"/>
      </w:pPr>
      <w:r>
        <w:t>**所在位置**：附件一（合同内容清单）、附件二（工作任务说明书）</w:t>
      </w:r>
    </w:p>
    <w:p>
      <w:pPr>
        <w:pStyle w:val="ListBullet"/>
      </w:pPr>
      <w:r>
        <w:t>**问题分析**：</w:t>
      </w:r>
    </w:p>
    <w:p>
      <w:pPr>
        <w:pStyle w:val="ListBullet"/>
      </w:pPr>
      <w:r>
        <w:t>✅ **正面表现**：合同通过附件一、二对CDN服务范围（网站加速、APP升级加速、对象存储）、计费模式（带宽月结、流量包）、关键能力（端口支持、HTTPS方案、缓存刷新）及部分SLA指标（99.9%可用性、10Gbps保底带宽）进行了描述，具备初步识别度。</w:t>
      </w:r>
    </w:p>
    <w:p>
      <w:pPr>
        <w:pStyle w:val="ListBullet"/>
      </w:pPr>
      <w:r>
        <w:t>❌ **核心缺陷**：</w:t>
      </w:r>
    </w:p>
    <w:p>
      <w:r>
        <w:t>1. **“计费带宽”定义严重模糊且不可验证**：</w:t>
      </w:r>
    </w:p>
    <w:p>
      <w:pPr>
        <w:pStyle w:val="ListBullet"/>
      </w:pPr>
      <w:r>
        <w:t>“有效日（产生消耗）”未定义何为“消耗”（是&gt;0MB？&gt;1MB？还是按腾讯云系统日志阈值？）；</w:t>
      </w:r>
    </w:p>
    <w:p>
      <w:pPr>
        <w:pStyle w:val="ListBullet"/>
      </w:pPr>
      <w:r>
        <w:t>“去掉前5%统计点”属统计学操作，但未说明是否四舍五入、是否含小数、是否跨日归一化；</w:t>
      </w:r>
    </w:p>
    <w:p>
      <w:pPr>
        <w:pStyle w:val="ListBullet"/>
      </w:pPr>
      <w:r>
        <w:t>最终“最大的统计点”未明确单位（Mbps？Gbps？）、精度（整数？0.1Mbps？），亦未约定腾讯云监控系统采样频率与甲方核验接口（如API权限、数据导出格式）。</w:t>
      </w:r>
    </w:p>
    <w:p>
      <w:r>
        <w:t>→ **该定义完全依赖乙方单方系统解释，甲方无法独立验证，违反《民法典》第510条“当事人就有关合同内容约定不明确……按照合同相关条款或者交易习惯确定”之精神，且无“交易习惯”可援引。**</w:t>
      </w:r>
    </w:p>
    <w:p>
      <w:r>
        <w:t>2. **技术能力描述均为功能罗列，无规格参数支撑**：</w:t>
      </w:r>
    </w:p>
    <w:p>
      <w:pPr>
        <w:pStyle w:val="ListBullet"/>
      </w:pPr>
      <w:r>
        <w:t>“支持自定义缓存规则”——未规定规则语法（如Nginx rewrite？Apache .htaccess？腾讯云控制台JSON Schema？）、最大规则条数、生效延迟（秒级？分钟级？）、冲突处理机制；</w:t>
      </w:r>
    </w:p>
    <w:p>
      <w:pPr>
        <w:pStyle w:val="ListBullet"/>
      </w:pPr>
      <w:r>
        <w:t>“支持特殊端口”——未限定端口范围（1–65535全开？仅TCP？UDP是否支持？是否需额外审批？）；</w:t>
      </w:r>
    </w:p>
    <w:p>
      <w:pPr>
        <w:pStyle w:val="ListBullet"/>
      </w:pPr>
      <w:r>
        <w:t>“泛域名证书”——未明确证书类型（DNS-01？HTTP-01？）、签发机构（Let’s Encrypt？DigiCert？）、有效期（90天？1年？）、续期责任主体及失败兜底方案。</w:t>
      </w:r>
    </w:p>
    <w:p>
      <w:r>
        <w:t>→ **此类描述属于“能做什么”，而非“做到什么程度”，无法构成验收依据，违反《政府采购货物和服务招标投标管理办法》（财政部令第87号）第11条“采购需求应当完整、明确，包括……技术规格……等要求”。**</w:t>
      </w:r>
    </w:p>
    <w:p>
      <w:r>
        <w:t>3. **关键性能指标缺乏测量方法与权威基准**：</w:t>
      </w:r>
    </w:p>
    <w:p>
      <w:pPr>
        <w:pStyle w:val="ListBullet"/>
      </w:pPr>
      <w:r>
        <w:t>“回源带宽占比≤15%”（附件二）、“可用性99.9%”（附件二）——未约定测量工具（腾讯云内部监控？第三方APM如Datadog？）、统计口径（是否剔除维护窗口？是否含TCP重传？）、数据所有权（原始日志是否向甲方开放？）、争议复核机制（如甲方质疑，由谁委托CNAS认证实验室审计？）。</w:t>
      </w:r>
    </w:p>
    <w:p>
      <w:r>
        <w:t>→ **导致SLA形同虚设，赔偿条款（附件二第6条）因前提不可证而无法触发。**</w:t>
      </w:r>
    </w:p>
    <w:p>
      <w:r>
        <w:t>4. **附件未以“技术规格书”形式结构化呈现**：</w:t>
      </w:r>
    </w:p>
    <w:p>
      <w:pPr>
        <w:pStyle w:val="ListBullet"/>
      </w:pPr>
      <w:r>
        <w:t>附件二名为“工作任务说明书”，实为项目背景与目标陈述，**未采用“表格化规格清单”（如：序号｜参数项｜数值／范围｜测量方法｜验收方式｜责任方）**；</w:t>
      </w:r>
    </w:p>
    <w:p>
      <w:pPr>
        <w:pStyle w:val="ListBullet"/>
      </w:pPr>
      <w:r>
        <w:t>附件一“合同内容清单”混杂商务条款（付款、账户）与技术条款，未分离“技术附件”与“商务附件”，违反ISO/IEC/IEEE 24765:2017《系统与软件工程—术语》对“规格说明（specification）”的定义（即“正式文档，描述产品、过程或服务应满足的要求”）。</w:t>
      </w:r>
    </w:p>
    <w:p>
      <w:pPr>
        <w:pStyle w:val="ListBullet"/>
      </w:pPr>
      <w:r>
        <w:t>**法律依据**：</w:t>
      </w:r>
    </w:p>
    <w:p>
      <w:pPr>
        <w:pStyle w:val="ListBullet"/>
      </w:pPr>
      <w:r>
        <w:t>《中华人民共和国民法典》第510条：“合同生效后，当事人就质量、价款或者报酬、履行地点等内容没有约定或者约定不明确的，可以协议补充；不能达成补充协议的，按照合同相关条款或者交易习惯确定。”</w:t>
      </w:r>
    </w:p>
    <w:p>
      <w:pPr>
        <w:pStyle w:val="ListBullet"/>
      </w:pPr>
      <w:r>
        <w:t>《政府采购货物和服务招标投标管理办法》（财政部令第87号）第11条：“采购需求应当完整、明确，包括以下内容：……（三）采购标的需执行的国家相关标准、行业标准、地方标准或者其他标准、规范；（四）采购标的需满足的质量、安全、技术规格、物理特性等要求……”</w:t>
      </w:r>
    </w:p>
    <w:p>
      <w:pPr>
        <w:pStyle w:val="ListBullet"/>
      </w:pPr>
      <w:r>
        <w:t>《GB/T 19001-2016 质量管理体系 要求》7.2.2条：“组织应确保对外包过程的控制，包括……规定对外包过程的控制类型和程度……”（注：CDN属典型外包技术服务，甲方需确保其规格可管控）</w:t>
      </w:r>
    </w:p>
    <w:p>
      <w:pPr>
        <w:pStyle w:val="ListBullet"/>
      </w:pPr>
      <w:r>
        <w:t>**修改建议**：</w:t>
      </w:r>
    </w:p>
    <w:p>
      <w:r>
        <w:t>&gt; **立即增补《附件七：CDN加速服务技术规格书》作为本合同不可分割组成部分，强制要求：**</w:t>
      </w:r>
    </w:p>
    <w:p>
      <w:r>
        <w:t>&gt; 1. **计费带宽定义重构**：</w:t>
      </w:r>
    </w:p>
    <w:p>
      <w:r>
        <w:t>&gt;    - 明确“有效日” = “当日CDN节点总流出流量 &gt; 10MB”；</w:t>
      </w:r>
    </w:p>
    <w:p>
      <w:r>
        <w:t>&gt;    - 规定“统计点” = “每5分钟峰值带宽（Mbps），取整至0.1Mbps”；</w:t>
      </w:r>
    </w:p>
    <w:p>
      <w:r>
        <w:t>&gt;    - 要求腾讯云开放API接口（/v1/billing/bandwidth），供甲方实时调取原始统计点数据，并约定数据保留期≥180日；</w:t>
      </w:r>
    </w:p>
    <w:p>
      <w:r>
        <w:t>&gt;    - 增加“争议解决条款”：若双方对计费带宽结果分歧，共同委托上海软件测评中心（CNAS认可）进行第三方审计，费用由败诉方承担。</w:t>
      </w:r>
    </w:p>
    <w:p>
      <w:r>
        <w:t>&gt; 2. **技术参数表格化**（示例）：</w:t>
      </w:r>
    </w:p>
    <w:p>
      <w:r>
        <w:t>&gt;    | 参数项         | 规格要求                                                                 | 验收方式               |</w:t>
      </w:r>
    </w:p>
    <w:p>
      <w:r>
        <w:t>&gt;    |----------------|--------------------------------------------------------------------------|------------------------|</w:t>
      </w:r>
    </w:p>
    <w:p>
      <w:r>
        <w:t>&gt;    | 缓存规则语法   | 支持RFC 7234标准Cache-Control头，及腾讯云扩展规则（见《TC-CDN-RULE-V2.1》） | 提交10条典型规则并验证生效 |</w:t>
      </w:r>
    </w:p>
    <w:p>
      <w:r>
        <w:t>&gt;    | 特殊端口支持   | TCP/UDP端口1–65535全范围，开通时效≤15分钟                                | 工单系统截图+端口扫描报告 |</w:t>
      </w:r>
    </w:p>
    <w:p>
      <w:r>
        <w:t>&gt;    | 泛域名证书     | DigiCert签发，*.zjrcu.com，有效期2年，自动续期失败时2小时内人工介入       | 提供证书链下载链接及续期日志 |</w:t>
      </w:r>
    </w:p>
    <w:p>
      <w:r>
        <w:t>&gt; 3. **SLA测量标准化**：</w:t>
      </w:r>
    </w:p>
    <w:p>
      <w:r>
        <w:t>&gt;    - 引用《YD/T 3775-2020 内容分发网络服务质量评价方法》，明确“不可用时间” = “HTTP 5xx错误率连续5分钟≥1%”或“TCP连接超时率≥5%”；</w:t>
      </w:r>
    </w:p>
    <w:p>
      <w:r>
        <w:t>&gt;    - 要求腾讯云每月5日前向甲方推送含原始监控数据的CSV报告（字段：timestamp, region, http_5xx_rate, tcp_timeout_rate）。</w:t>
      </w:r>
    </w:p>
    <w:p>
      <w:r>
        <w:t>&gt; 4. **在合同正文第十五条“附件”中，将原“附件二”更名为“附件二：浙江农村商业联合银行互联网类系统CDN加速服务项目工作任务说明书（管理性文件）”，并新增“附件七：CDN加速服务技术规格书（技术性文件，构成本合同组成部分）”。**</w:t>
      </w:r>
    </w:p>
    <w:p>
      <w:r>
        <w:t>---</w:t>
      </w:r>
    </w:p>
    <w:p>
      <w:pPr>
        <w:pStyle w:val="Heading3"/>
      </w:pPr>
      <w:r>
        <w:t>审查标准4：保障价款条款的准确性、完整性与合规性</w:t>
      </w:r>
    </w:p>
    <w:p>
      <w:r>
        <w:t>#### 检查要点：总价构成须清晰（如含税价/不含税价），并注明税率及对应税目</w:t>
      </w:r>
    </w:p>
    <w:p>
      <w:pPr>
        <w:pStyle w:val="ListBullet"/>
      </w:pPr>
      <w:r>
        <w:t>**风险等级**：高</w:t>
      </w:r>
    </w:p>
    <w:p>
      <w:pPr>
        <w:pStyle w:val="ListBullet"/>
      </w:pPr>
      <w:r>
        <w:t>**审查结论**：合同存在严重缺陷，未明确约定服务价格是含税价还是不含税价，也未注明适用的增值税税率及税目，构成重大的税务合规风险。</w:t>
      </w:r>
    </w:p>
    <w:p>
      <w:pPr>
        <w:pStyle w:val="ListBullet"/>
      </w:pPr>
      <w:r>
        <w:t>**原文引用**：「CDN网站加速费用」、「对象存储费用」、「CDN APP内应用升级加速费用」、「腾讯云将严格遵照国家税务规定向甲方开具合规的增值税发票。」</w:t>
      </w:r>
    </w:p>
    <w:p>
      <w:pPr>
        <w:pStyle w:val="ListBullet"/>
      </w:pPr>
      <w:r>
        <w:t>**所在位置**：附件一 “一.产品优惠报价” 部分；第三条 3.2.8款</w:t>
      </w:r>
    </w:p>
    <w:p>
      <w:pPr>
        <w:pStyle w:val="ListBullet"/>
      </w:pPr>
      <w:r>
        <w:t>**问题分析**：这是最严重的合规风险。附件一中的所有报价均未说明是否含税。3.2.8款仅承诺“开具合规的增值税发票”，但未约定开票内容。根据《中华人民共和国发票管理办法》及其实施细则，发票必须如实开具，价税分离。如果合同约定的是含税价，而发票却按不含税价开具，或反之，将导致双方在税务处理上产生巨大分歧，甲方可能无法进行进项税抵扣，乙方则面临虚开发票的法律风险。此外，未注明税目（如“信息技术服务”）可能导致税务机关认定税目错误，进而要求补税、罚款。</w:t>
      </w:r>
    </w:p>
    <w:p>
      <w:pPr>
        <w:pStyle w:val="ListBullet"/>
      </w:pPr>
      <w:r>
        <w:t>**法律依据**：</w:t>
      </w:r>
    </w:p>
    <w:p>
      <w:pPr>
        <w:pStyle w:val="ListBullet"/>
      </w:pPr>
      <w:r>
        <w:t>《中华人民共和国增值税暂行条例》第六条规定：“销售额为纳税人发生应税销售行为收取的全部价款和价外费用，但是不包括收取的销项税额。” 第二十一条规定：“纳税人发生应税销售行为，应当向索取增值税专用发票的购买方开具增值税专用发票……”</w:t>
      </w:r>
    </w:p>
    <w:p>
      <w:pPr>
        <w:pStyle w:val="ListBullet"/>
      </w:pPr>
      <w:r>
        <w:t>《发票管理办法实施细则》第二十八条规定：“单位和个人在开具发票时，必须做到按照号码顺序填开，填写项目齐全，内容真实，字迹清楚，全部联次一次打印，内容完全一致，并在发票联和抵扣联加盖发票专用章。”</w:t>
      </w:r>
    </w:p>
    <w:p>
      <w:pPr>
        <w:pStyle w:val="ListBullet"/>
      </w:pPr>
      <w:r>
        <w:t>**修改建议**：必须在附件一《合同内容清单》的“一.产品优惠报价”部分最上方，增加一条强制性声明：“本合同附件一所列所有报价均为含增值税价格，适用增值税税率为6%，税目为‘信息技术服务’。乙方应向甲方开具税率为6%的增值税专用发票。”</w:t>
      </w:r>
    </w:p>
    <w:p>
      <w:r>
        <w:t>---</w:t>
      </w:r>
    </w:p>
    <w:p>
      <w:pPr>
        <w:pStyle w:val="Heading3"/>
      </w:pPr>
      <w:r>
        <w:t>审查标准5：强化付款节点的确定性、风险对冲性与财税合规性</w:t>
      </w:r>
    </w:p>
    <w:p>
      <w:r>
        <w:t>#### 检查要点：付款节点须以明确事件或时间界定，禁用模糊表述</w:t>
      </w:r>
    </w:p>
    <w:p>
      <w:pPr>
        <w:pStyle w:val="ListBullet"/>
      </w:pPr>
      <w:r>
        <w:t>**风险等级**：高</w:t>
      </w:r>
    </w:p>
    <w:p>
      <w:pPr>
        <w:pStyle w:val="ListBullet"/>
      </w:pPr>
      <w:r>
        <w:t>**审查结论**：合同中存在大量模糊、不确定的付款节点表述，严重违反“强化付款节点确定性”的审查标准。核心问题在于未约定具体付款时间，而是依赖于“服务规则”“系统数据”等外部、动态、单方制定的规则，导致甲方付款义务缺乏可预期性和法律确定性。</w:t>
      </w:r>
    </w:p>
    <w:p>
      <w:pPr>
        <w:pStyle w:val="ListBullet"/>
      </w:pPr>
      <w:r>
        <w:t>**原文引用**：「甲方后付费的，根据合同约定甲方在该服务的服务规则确定的付款期限内支付费用。服务规则未明确付款期限的，甲方应每个月自确认账单并收到发票之日起 30个工作日内向乙方付款。」（附件一“三、商务要求”第2条）；「甲方在按照该服务的服务规则确定的付款期限内支付费用。」（第三条 3.2.1）；「甲方需在订单提交后及时完成支付。」（3.1.2）</w:t>
      </w:r>
    </w:p>
    <w:p>
      <w:pPr>
        <w:pStyle w:val="ListBullet"/>
      </w:pPr>
      <w:r>
        <w:t>**所在位置**：附件一“三、商务要求”第2条；第三条 3.2.1；第三条 3.1.2</w:t>
      </w:r>
    </w:p>
    <w:p>
      <w:pPr>
        <w:pStyle w:val="ListBullet"/>
      </w:pPr>
      <w:r>
        <w:t>**问题分析**：</w:t>
      </w:r>
    </w:p>
    <w:p>
      <w:r>
        <w:t>1. “服务规则确定的付款期限”是典型的模糊表述。服务规则由腾讯云单方制定和修改，甲方无法事先知悉和控制，这实质上将付款节点的确定权完全交予乙方，剥夺了甲方的合同平等地位。</w:t>
      </w:r>
    </w:p>
    <w:p>
      <w:r>
        <w:t>2. “及时完成支付”是法律明令禁止的模糊用语，其含义完全取决于乙方单方解释，毫无确定性可言。</w:t>
      </w:r>
    </w:p>
    <w:p>
      <w:r>
        <w:t>3. 即使在“服务规则未明确”的兜底条款中，也仅约定“自确认账单并收到发票之日起30个工作日内”，但“确认账单”的时点本身又依赖于另一模糊条款——“甲方在收到账单后5个工作日内提出异议，否则视为确认”。这意味着甲方的付款义务起算日被人为拉长至一个不确定的区间（5个工作日异议期 + 30个工作日付款期），且该起算日完全由乙方单方发送账单的行为触发，缺乏甲方主动确认的环节。</w:t>
      </w:r>
    </w:p>
    <w:p>
      <w:pPr>
        <w:pStyle w:val="ListBullet"/>
      </w:pPr>
      <w:r>
        <w:t>**法律依据**：</w:t>
      </w:r>
    </w:p>
    <w:p>
      <w:pPr>
        <w:pStyle w:val="ListBullet"/>
      </w:pPr>
      <w:r>
        <w:t>《保障中小企业款项支付条例》第八条规定：“机关、事业单位从中小企业采购货物、工程、服务，应当自货物、工程、服务交付之日起30日内支付款项；合同另有约定的，付款期限最长不得超过60日。” 该条例虽主要针对政府采购，但其确立的“以明确事件为起点、以固定天数为期限”的付款节点范式，已成为商业合同的普遍合规基准。最高人民法院相关判例亦强调，付款条款必须具备“可执行性”，即权利义务能被清晰识别和履行。</w:t>
      </w:r>
    </w:p>
    <w:p>
      <w:pPr>
        <w:pStyle w:val="ListBullet"/>
      </w:pPr>
      <w:r>
        <w:t>**修改建议**：应删除所有指向“服务规则”的模糊条款，直接在主合同中明确约定付款节点。例如，将附件一第2条修改为：“甲方应于每月【X】日前，向乙方支付上一自然月经双方书面确认无误的账单金额。”</w:t>
      </w:r>
    </w:p>
    <w:p>
      <w:r>
        <w:t>#### 检查要点：预留不低于合同总额5%—10%的尾款，明确约定于免费维保期届满且无质量争议后支付</w:t>
      </w:r>
    </w:p>
    <w:p>
      <w:pPr>
        <w:pStyle w:val="ListBullet"/>
      </w:pPr>
      <w:r>
        <w:t>**风险等级**：高</w:t>
      </w:r>
    </w:p>
    <w:p>
      <w:pPr>
        <w:pStyle w:val="ListBullet"/>
      </w:pPr>
      <w:r>
        <w:t>**审查结论**：合同中**完全缺失**关于尾款预留及支付条件的任何约定，构成重大合规与风控漏洞。这使得甲方在服务全周期内均面临资金全额支付的风险，且在服务后期缺乏有效的质量制约手段。</w:t>
      </w:r>
    </w:p>
    <w:p>
      <w:pPr>
        <w:pStyle w:val="ListBullet"/>
      </w:pPr>
      <w:r>
        <w:t>**原文引用**：合同全文未见任何关于“尾款”“质保金”“预留款”“维保期”“免费维保期”等关键词的表述。</w:t>
      </w:r>
    </w:p>
    <w:p>
      <w:pPr>
        <w:pStyle w:val="ListBullet"/>
      </w:pPr>
      <w:r>
        <w:t>**所在位置**：全文各处</w:t>
      </w:r>
    </w:p>
    <w:p>
      <w:pPr>
        <w:pStyle w:val="ListBullet"/>
      </w:pPr>
      <w:r>
        <w:t>**问题分析**：</w:t>
      </w:r>
    </w:p>
    <w:p>
      <w:r>
        <w:t>1. 合同通篇只讨论“付款”，从未提及“尾款”概念。所有付款条款均指向“当期费用”或“上月账单”，没有一笔款项被明确设定为具有担保性质的、最后支付的“尾款”。</w:t>
      </w:r>
    </w:p>
    <w:p>
      <w:r>
        <w:t>2. 合同未定义任何“免费维保期”。附件二虽有“服务可用性保证”和赔偿条款，但这属于SLA层面的违约责任，并非法律意义上的“维保期”。维保期通常指服务交付后一段固定期限内，乙方提供免费修复、维护服务的期间，其起算日和期限必须明确。</w:t>
      </w:r>
    </w:p>
    <w:p>
      <w:r>
        <w:t>3. 缺失尾款机制，意味着甲方一旦支付完毕，便丧失了对乙方后续服务质量（如响应速度、问题解决率、报告质量等）的经济约束力，风险完全单向转移给甲方。</w:t>
      </w:r>
    </w:p>
    <w:p>
      <w:pPr>
        <w:pStyle w:val="ListBullet"/>
      </w:pPr>
      <w:r>
        <w:t>**法律依据**：</w:t>
      </w:r>
    </w:p>
    <w:p>
      <w:pPr>
        <w:pStyle w:val="ListBullet"/>
      </w:pPr>
      <w:r>
        <w:t>财政部《政府采购货物和服务招标投标管理办法》（87号令）第七十一条规定：“采购人应当按照政府采购合同约定，及时向中标人支付采购资金。……履约保证金的数额不得超过政府采购合同金额的10%。” 虽然本合同非政府采购，但“预留尾款作为履约担保”的商业惯例已被广泛接受，并被《民法典》第五百八十六条关于“定金”的立法精神所印证，即通过预先设定一部分款项的支付条件来保障合同主要义务的履行。</w:t>
      </w:r>
    </w:p>
    <w:p>
      <w:pPr>
        <w:pStyle w:val="ListBullet"/>
      </w:pPr>
      <w:r>
        <w:t>**修改建议**：必须在主合同中增设专门条款。例如：“甲方应预留本合同总金额【8】%作为尾款。该尾款应于本合同约定的服务期（2025年9月1日至2028年8月31日）届满后【30】日内，且在乙方已按约履行全部服务义务、甲方未就服务质量提出有效异议的前提下，一次性无息支付。”</w:t>
      </w:r>
    </w:p>
    <w:p>
      <w:r>
        <w:t>---</w:t>
      </w:r>
    </w:p>
    <w:p>
      <w:pPr>
        <w:pStyle w:val="Heading3"/>
      </w:pPr>
      <w:r>
        <w:t>审查标准6：消除期限表述歧义，确保履行节奏可控</w:t>
      </w:r>
    </w:p>
    <w:p>
      <w:r>
        <w:t>#### 检查要点：若采用周期计算（如‘自生效日起满12个月’），须明确定义起始日（如‘双方签字盖章之日’）及终止日计算规则（如‘截止至第12个自然月最后一日’）</w:t>
      </w:r>
    </w:p>
    <w:p>
      <w:pPr>
        <w:pStyle w:val="ListBullet"/>
      </w:pPr>
      <w:r>
        <w:t>**风险等级**：中</w:t>
      </w:r>
    </w:p>
    <w:p>
      <w:pPr>
        <w:pStyle w:val="ListBullet"/>
      </w:pPr>
      <w:r>
        <w:t>**审查结论**：⚠️ 存在**隐性歧义风险**。合同多处使用“自……起”“服务开通日期”“计费开始日期”等周期性起算表述，但**未统一定义“生效日”**，且“服务开通日期”存在**双重定义冲突**，可能导致计费、服务起算、SLA考核等关键节点争议。</w:t>
      </w:r>
    </w:p>
    <w:p>
      <w:pPr>
        <w:pStyle w:val="ListBullet"/>
      </w:pPr>
      <w:r>
        <w:t>**原文引用**：</w:t>
      </w:r>
    </w:p>
    <w:p>
      <w:pPr>
        <w:pStyle w:val="ListBullet"/>
      </w:pPr>
      <w:r>
        <w:t>「服务开通日期指乙方为甲方开通CDN服务的日期，服务开通日期以甲方系统记录时间为准。」（附件一 → 三、商务要求 → 第6款）</w:t>
      </w:r>
    </w:p>
    <w:p>
      <w:pPr>
        <w:pStyle w:val="ListBullet"/>
      </w:pPr>
      <w:r>
        <w:t>「服务开通日期：指乙方为甲方开通CDN服务的日期，服务开通日期以乙方系统记录时间为准。」（附件三 → 第三条 → 第2款）</w:t>
      </w:r>
    </w:p>
    <w:p>
      <w:pPr>
        <w:pStyle w:val="ListBullet"/>
      </w:pPr>
      <w:r>
        <w:t>「计费开始日期指甲方应当依约向乙方支付服务费的起算时间。服务开通日期原则上与计费开始日期一致，双方另行约定的除外。」（附件一 &amp; 附件三）</w:t>
      </w:r>
    </w:p>
    <w:p>
      <w:pPr>
        <w:pStyle w:val="ListBullet"/>
      </w:pPr>
      <w:r>
        <w:t>「甲乙双方可另行通过《服务开通确认书》确定CDN服务的计费开始日期……如在乙方通知之日起三个工作日内，甲方亦未提出异议，则视为双方确认服务已按乙方通知之服务开通日起正式开通。」（附件三 → 第三条 → 第3款）</w:t>
      </w:r>
    </w:p>
    <w:p>
      <w:pPr>
        <w:pStyle w:val="ListBullet"/>
      </w:pPr>
      <w:r>
        <w:t>**所在位置**：附件一（商务要求第6款）、附件三（第三条第2–3款）</w:t>
      </w:r>
    </w:p>
    <w:p>
      <w:pPr>
        <w:pStyle w:val="ListBullet"/>
      </w:pPr>
      <w:r>
        <w:t>**问题分析**：</w:t>
      </w:r>
    </w:p>
    <w:p>
      <w:r>
        <w:t>1. **“生效日”未定义**：主协议全文未明确定义“本协议生效日”。签署页仅有空白日期（「日期：2025年    月    日」），未填写；且未约定“签字盖章即生效”或“满足某条件后生效”。根据《民法典》第502条，依法成立的合同自成立时生效，但若约定附条件/附期限，则从其约定。此处缺失定义，导致“自生效日起”的任何推导（如违约责任起算、保密义务起始、服务开通触发条件等）存在不确定性。</w:t>
      </w:r>
    </w:p>
    <w:p>
      <w:r>
        <w:t>2. **“服务开通日期”定义冲突**：</w:t>
      </w:r>
    </w:p>
    <w:p>
      <w:pPr>
        <w:pStyle w:val="ListBullet"/>
      </w:pPr>
      <w:r>
        <w:t>附件一称“以**甲方系统记录时间**为准”；</w:t>
      </w:r>
    </w:p>
    <w:p>
      <w:pPr>
        <w:pStyle w:val="ListBullet"/>
      </w:pPr>
      <w:r>
        <w:t>附件三称“以**乙方系统记录时间**为准”。</w:t>
      </w:r>
    </w:p>
    <w:p>
      <w:r>
        <w:t>双方系统时间可能存在毫秒级偏差，且缺乏同步机制或校验流程。在发生争议时（如甲方主张未开通、乙方主张已开通），将陷入“谁的系统为准”的举证困境，直接影响计费起始、SLA考核（如99.9%可用性自何时起算）、违约责任认定。</w:t>
      </w:r>
    </w:p>
    <w:p>
      <w:r>
        <w:t>3. **“计费开始日期”依赖“服务开通日期”，但后者本身存在定义冲突，形成传导性歧义**。</w:t>
      </w:r>
    </w:p>
    <w:p>
      <w:r>
        <w:t>4. **《服务开通确认书》机制未明确生效要件**：虽约定“甲方盖章或邮件确认”，但未规定确认时限、异议形式、逾期默示同意的法律后果是否排除甲方事后抗辩权，易引发程序争议。</w:t>
      </w:r>
    </w:p>
    <w:p>
      <w:pPr>
        <w:pStyle w:val="ListBullet"/>
      </w:pPr>
      <w:r>
        <w:t>**法律依据**：</w:t>
      </w:r>
    </w:p>
    <w:p>
      <w:pPr>
        <w:pStyle w:val="ListBullet"/>
      </w:pPr>
      <w:r>
        <w:t>《民法典》第502条：“依法成立的合同，自成立时生效，但是法律另有规定或者当事人另有约定的除外。”</w:t>
      </w:r>
    </w:p>
    <w:p>
      <w:pPr>
        <w:pStyle w:val="ListBullet"/>
      </w:pPr>
      <w:r>
        <w:t>《民法典》第140条：“行为人可以明示或者默示作出意思表示。沉默只有在有法律规定、当事人约定或者符合当事人之间的交易习惯时，才可以视为意思表示。”</w:t>
      </w:r>
    </w:p>
    <w:p>
      <w:pPr>
        <w:pStyle w:val="ListBullet"/>
      </w:pPr>
      <w:r>
        <w:t>《电子签名法》第5条：“符合下列条件的数据电文，视为满足法律、法规规定的原件形式要求：（一）能够有效地表现所载内容并可供随时调取查用；（二）能够可靠地保证自最终形成时起，内容保持完整、未被更改。”</w:t>
      </w:r>
    </w:p>
    <w:p>
      <w:pPr>
        <w:pStyle w:val="ListBullet"/>
      </w:pPr>
      <w:r>
        <w:t>**修改建议**：</w:t>
      </w:r>
    </w:p>
    <w:p>
      <w:r>
        <w:t>✅ **立即修正定义冲突**：</w:t>
      </w:r>
    </w:p>
    <w:p>
      <w:pPr>
        <w:pStyle w:val="ListBullet"/>
      </w:pPr>
      <w:r>
        <w:t>统一删除附件一中“以甲方系统记录时间为准”的表述，全部改为“以**乙方系统记录时间为准**”，并在附件三第三条第2款后增加：</w:t>
      </w:r>
    </w:p>
    <w:p>
      <w:r>
        <w:t>&gt; “双方确认，乙方CDN服务管理系统（URL: https://console.cloud.tencent.com/cdn）所记载的服务开通时间戳，经甲方登录同一账户核验后，即为本协议项下唯一有效的服务开通日期。甲方应在收到乙方开通通知后**2个工作日内**登录系统核验并书面确认；逾期未确认且未提出异议的，视为认可该时间戳。”</w:t>
      </w:r>
    </w:p>
    <w:p>
      <w:r>
        <w:t>✅ **明确定义协议生效日**：</w:t>
      </w:r>
    </w:p>
    <w:p>
      <w:pPr>
        <w:pStyle w:val="ListBullet"/>
      </w:pPr>
      <w:r>
        <w:t>在主协议**第一条“定义”或第二条“协议生效”** 中增加：</w:t>
      </w:r>
    </w:p>
    <w:p>
      <w:r>
        <w:t>&gt; “本协议自双方法定代表人或授权代理人**签字并加盖公章（或合同专用章）之日起生效**；签署日期以**后签署方的落款日期**为准。”</w:t>
      </w:r>
    </w:p>
    <w:p>
      <w:r>
        <w:t>并同步在签署页“日期”栏旁加注：“（请务必填写完整年/月/日）”。</w:t>
      </w:r>
    </w:p>
    <w:p>
      <w:r>
        <w:t>✅ **补强《服务开通确认书》效力**：</w:t>
      </w:r>
    </w:p>
    <w:p>
      <w:pPr>
        <w:pStyle w:val="ListBullet"/>
      </w:pPr>
      <w:r>
        <w:t>在附件三第三条第3款末尾增加：</w:t>
      </w:r>
    </w:p>
    <w:p>
      <w:r>
        <w:t>&gt; “《服务开通确认书》自甲方盖章或法定代表人/授权代理人签字，并发送至乙方指定邮箱（service@tencent.com）之时起生效；甲方未在乙方通知后3个工作日内确认的，乙方有权单方发出《开通完成通知书》，该通知书送达甲方预留联系邮箱即视为服务已按通知书载明日期开通。”</w:t>
      </w:r>
    </w:p>
    <w:p>
      <w:r>
        <w:t>---</w:t>
      </w:r>
    </w:p>
    <w:p>
      <w:pPr>
        <w:pStyle w:val="Heading3"/>
      </w:pPr>
      <w:r>
        <w:t>审查标准7：开展文本形式与逻辑一致性校验</w:t>
      </w:r>
    </w:p>
    <w:p>
      <w:r>
        <w:t>#### 检查要点：通读全文，排查错别字、标点误用、标题层级混乱（如‘第一条’后直接跳至‘第三条’）、语句成分残缺或逻辑矛盾等低级错误</w:t>
      </w:r>
    </w:p>
    <w:p>
      <w:pPr>
        <w:pStyle w:val="ListBullet"/>
      </w:pPr>
      <w:r>
        <w:t>**风险等级**：中</w:t>
      </w:r>
    </w:p>
    <w:p>
      <w:pPr>
        <w:pStyle w:val="ListBullet"/>
      </w:pPr>
      <w:r>
        <w:t>**审查结论**：合同存在标题层级混乱问题，第十二条重复出现两次，且从第十二条直接跳至第十四条，缺少第十三条。此外，附件四标题"浙江省农商银行系统"与正文其他地方使用的"浙江农村商业联合银行股份有限公司"名称不一致。</w:t>
      </w:r>
    </w:p>
    <w:p>
      <w:pPr>
        <w:pStyle w:val="ListBullet"/>
      </w:pPr>
      <w:r>
        <w:t>**原文引用**：「## 第十二条 协议更新\n## 第十二条 协议更新」、「## 第十四条 其他」、「附件四\n浙江省农商银行系统\n信息化建设保密协议」</w:t>
      </w:r>
    </w:p>
    <w:p>
      <w:pPr>
        <w:pStyle w:val="ListBullet"/>
      </w:pPr>
      <w:r>
        <w:t>**所在位置**：第十二条标题处、第十四条标题处、附件四标题处</w:t>
      </w:r>
    </w:p>
    <w:p>
      <w:pPr>
        <w:pStyle w:val="ListBullet"/>
      </w:pPr>
      <w:r>
        <w:t>**问题分析**：合同标题层级存在明显错误，第十二条被重复书写两次，且后续直接跳至第十四条，缺少第十三条，这违反了合同文本的基本逻辑结构。附件四标题使用了简称"浙江省农商银行系统"，而合同其他部分均使用全称"浙江农村商业联合银行股份有限公司"，存在称谓不一致问题。</w:t>
      </w:r>
    </w:p>
    <w:p>
      <w:pPr>
        <w:pStyle w:val="ListBullet"/>
      </w:pPr>
      <w:r>
        <w:t>**法律依据**：</w:t>
      </w:r>
    </w:p>
    <w:p>
      <w:pPr>
        <w:pStyle w:val="ListBullet"/>
      </w:pPr>
      <w:r>
        <w:t>《民法典》第四百七十条：合同的内容由当事人约定，一般包括下列条款：（一）当事人的姓名或者名称和住所；（二）标的；（三）数量；（四）质量；（五）价款或者报酬；（六）履行期限、地点和方式；（七）违约责任；（八）解决争议的方法。合同文本的规范性是合同有效性的基础。</w:t>
      </w:r>
    </w:p>
    <w:p>
      <w:pPr>
        <w:pStyle w:val="ListBullet"/>
      </w:pPr>
      <w:r>
        <w:t>**修改建议**：删除重复的"## 第十二条 协议更新"，补充第十三条条款，或重新编排条款序号；将附件四标题修改为"浙江省农村商业联合银行系统信息化建设保密协议"，确保与合同正文中使用的全称一致。</w:t>
      </w:r>
    </w:p>
    <w:p>
      <w:r>
        <w:t>#### 检查要点：核验付款计划各期金额加总是否等于合同总金额；大小写金额是否完全一致</w:t>
      </w:r>
    </w:p>
    <w:p>
      <w:pPr>
        <w:pStyle w:val="ListBullet"/>
      </w:pPr>
      <w:r>
        <w:t>**风险等级**：高</w:t>
      </w:r>
    </w:p>
    <w:p>
      <w:pPr>
        <w:pStyle w:val="ListBullet"/>
      </w:pPr>
      <w:r>
        <w:t>**审查结论**：合同中未提供具体的合同总金额及各期付款金额，无法进行加总核验；同时，合同中未见大小写金额的表述，存在重大缺失。</w:t>
      </w:r>
    </w:p>
    <w:p>
      <w:pPr>
        <w:pStyle w:val="ListBullet"/>
      </w:pPr>
      <w:r>
        <w:t>**原文引用**：「CDN网站加速费用、对象存储费用根据实际缴费账单，按照后付费模式结算...」、「CDN APP内应用升级加速费用每年根据预估下载量支付相对应的流量包费用...」</w:t>
      </w:r>
    </w:p>
    <w:p>
      <w:pPr>
        <w:pStyle w:val="ListBullet"/>
      </w:pPr>
      <w:r>
        <w:t>**所在位置**：附件一"三、商务要求"部分</w:t>
      </w:r>
    </w:p>
    <w:p>
      <w:pPr>
        <w:pStyle w:val="ListBullet"/>
      </w:pPr>
      <w:r>
        <w:t>**问题分析**：合同中仅描述了计费方式和结算模式，但未明确合同总金额、各期付款金额及大小写金额，这违反了合同必备条款的要求，可能导致付款争议。根据合同审查标准，必须核验付款计划各期金额加总是否等于合同总金额，但本合同缺乏必要的金额信息。</w:t>
      </w:r>
    </w:p>
    <w:p>
      <w:pPr>
        <w:pStyle w:val="ListBullet"/>
      </w:pPr>
      <w:r>
        <w:t>**法律依据**：</w:t>
      </w:r>
    </w:p>
    <w:p>
      <w:pPr>
        <w:pStyle w:val="ListBullet"/>
      </w:pPr>
      <w:r>
        <w:t>《民法典》第五百一十条：合同生效后，当事人就质量、价款或者报酬、履行地点等内容没有约定或者约定不明确的，可以协议补充；不能达成补充协议的，按照合同相关条款或者交易习惯确定。</w:t>
      </w:r>
    </w:p>
    <w:p>
      <w:pPr>
        <w:pStyle w:val="ListBullet"/>
      </w:pPr>
      <w:r>
        <w:t>《民法典》第五百一十一条：当事人就有关合同内容约定不明确，依据前条规定仍不能确定的，适用下列规定：（二）价款或者报酬不明确的，按照订立合同时履行地的市场价格履行；依法应当执行政府定价或者政府指导价的，依照规定履行。</w:t>
      </w:r>
    </w:p>
    <w:p>
      <w:pPr>
        <w:pStyle w:val="ListBullet"/>
      </w:pPr>
      <w:r>
        <w:t>**修改建议**：在附件一"合同内容清单"中明确填写合同总金额，并以大小写形式同时表述；明确各期付款金额及时间节点，确保各期金额加总等于合同总金额。</w:t>
      </w:r>
    </w:p>
    <w:p>
      <w:r>
        <w:t>#### 检查要点：比对正文与所有附件中相同条款（如验收标准、知识产权、违约责任）的表述是否严格一致，禁止存在冲突或简化省略</w:t>
      </w:r>
    </w:p>
    <w:p>
      <w:pPr>
        <w:pStyle w:val="ListBullet"/>
      </w:pPr>
      <w:r>
        <w:t>**风险等级**：高</w:t>
      </w:r>
    </w:p>
    <w:p>
      <w:pPr>
        <w:pStyle w:val="ListBullet"/>
      </w:pPr>
      <w:r>
        <w:t>**审查结论**：验收标准在附件一和附件二中存在不一致。附件一要求"CDN加速后，全国范围内用户访问甲方互联网类系统可用性不低于99%"，而附件二要求"服务可用性达到99.9%"，两者相差0.9个百分点，构成实质性差异。此外，附件四保密协议中违约责任条款（0.5%违约金）与主合同未见对应条款，存在冲突风险。</w:t>
      </w:r>
    </w:p>
    <w:p>
      <w:pPr>
        <w:pStyle w:val="ListBullet"/>
      </w:pPr>
      <w:r>
        <w:t>**原文引用**：「1.CDN加速后，全国范围内用户访问甲方互联网类系统可用性不低于99%。」、「1、乙方保证甲方购买的服务的“服务可用性”达到99.9%，即每月服务不可用时间累计小于44分钟；」、「1、如果乙方未履行本协议所规定的保密义务，但尚未给甲方造成损失或严重后果的，乙方应就每一违约事件按照本合同总金额的0.5%向甲方支付违约金」</w:t>
      </w:r>
    </w:p>
    <w:p>
      <w:pPr>
        <w:pStyle w:val="ListBullet"/>
      </w:pPr>
      <w:r>
        <w:t>**所在位置**：附件一"二、验收要求"第1条、附件二"四、服务可用性保证"第1条、附件四"五、违约责任"第1条</w:t>
      </w:r>
    </w:p>
    <w:p>
      <w:pPr>
        <w:pStyle w:val="ListBullet"/>
      </w:pPr>
      <w:r>
        <w:t>**问题分析**：验收标准是合同履行的核心条款，附件一和附件二对同一服务的可用性要求存在显著差异（99% vs 99.9%），这将导致验收时产生重大争议。附件四作为主合同的附件，其违约责任条款与主合同缺乏呼应，可能被认定为独立约定，影响合同整体性。</w:t>
      </w:r>
    </w:p>
    <w:p>
      <w:pPr>
        <w:pStyle w:val="ListBullet"/>
      </w:pPr>
      <w:r>
        <w:t>**法律依据**：</w:t>
      </w:r>
    </w:p>
    <w:p>
      <w:pPr>
        <w:pStyle w:val="ListBullet"/>
      </w:pPr>
      <w:r>
        <w:t>《民法典》第五百零九条：当事人应当按照约定全面履行自己的义务。当事人应当遵循诚信原则，根据合同的性质、目的和交易习惯履行通知、协助、保密等义务。</w:t>
      </w:r>
    </w:p>
    <w:p>
      <w:pPr>
        <w:pStyle w:val="ListBullet"/>
      </w:pPr>
      <w:r>
        <w:t>**修改建议**：统一验收标准，选择更高标准（99.9%）作为最终验收要求，并在附件一和附件二中保持完全一致的表述；在主合同中增加相应的违约责任条款，或在附件四中注明"本附件违约责任条款为主合同违约责任条款的补充和细化"。</w:t>
      </w:r>
    </w:p>
    <w:p>
      <w:r>
        <w:t>#### 检查要点：确认合同首部‘甲方/乙方’全称、签约页‘甲方（盖章）’‘乙方（盖章）’处名称、落款签章处名称三者完全一致，不得缩写、简写或添加括号备注</w:t>
      </w:r>
    </w:p>
    <w:p>
      <w:pPr>
        <w:pStyle w:val="ListBullet"/>
      </w:pPr>
      <w:r>
        <w:t>**风险等级**：中</w:t>
      </w:r>
    </w:p>
    <w:p>
      <w:pPr>
        <w:pStyle w:val="ListBullet"/>
      </w:pPr>
      <w:r>
        <w:t>**审查结论**：合同首部与签约页名称基本一致，但存在细微差异。首部写为"浙江农村商业联合银行股份有限公司"，而附件一中多次出现"浙江农商联合银行"，附件六中出现"浙江农商银行"，存在简称混用问题。</w:t>
      </w:r>
    </w:p>
    <w:p>
      <w:pPr>
        <w:pStyle w:val="ListBullet"/>
      </w:pPr>
      <w:r>
        <w:t>**原文引用**：「甲方：浙江农村商业联合银行股份有限公司     乙方：腾讯云计算（北京）有限责任公司」、「汇款备注：浙江农商联合银行CDN服务费+UIN100012773012」、「附件四\n浙江省农商银行系统」</w:t>
      </w:r>
    </w:p>
    <w:p>
      <w:pPr>
        <w:pStyle w:val="ListBullet"/>
      </w:pPr>
      <w:r>
        <w:t>**所在位置**：合同首部、附件一"三、商务要求"第7条、附件四标题</w:t>
      </w:r>
    </w:p>
    <w:p>
      <w:pPr>
        <w:pStyle w:val="ListBullet"/>
      </w:pPr>
      <w:r>
        <w:t>**问题分析**：虽然合同首部和签约页名称一致，但在附件中多次出现"浙江农商联合银行"、"浙江省农商银行系统"等不同简称，这可能导致主体识别混淆，特别是在法律纠纷中可能影响合同主体的认定。</w:t>
      </w:r>
    </w:p>
    <w:p>
      <w:pPr>
        <w:pStyle w:val="ListBullet"/>
      </w:pPr>
      <w:r>
        <w:t>**法律依据**：</w:t>
      </w:r>
    </w:p>
    <w:p>
      <w:pPr>
        <w:pStyle w:val="ListBullet"/>
      </w:pPr>
      <w:r>
        <w:t>《民法典》第四百七十条：合同的内容由当事人约定，一般包括下列条款：（一）当事人的姓名或者名称和住所。当事人名称的准确性和一致性是合同有效性的基本要求。</w:t>
      </w:r>
    </w:p>
    <w:p>
      <w:pPr>
        <w:pStyle w:val="ListBullet"/>
      </w:pPr>
      <w:r>
        <w:t>**修改建议**：在整个合同文本中统一使用"浙江农村商业联合银行股份有限公司"全称，删除所有简称形式；在附件一汇款备注中改为"浙江农村商业联合银行股份有限公司CDN服务费"；附件四标题改为"浙江农村商业联合银行股份有限公司系统信息化建设保密协议"。</w:t>
      </w:r>
    </w:p>
    <w:p>
      <w:r>
        <w:t>#### 检查要点：核查援引的法律法规名称、颁布机关、施行日期是否准确有效（如不得引用已废止的《合同法》），优先援引现行有效的《民法典》合同编及相关司法解释</w:t>
      </w:r>
    </w:p>
    <w:p>
      <w:pPr>
        <w:pStyle w:val="ListBullet"/>
      </w:pPr>
      <w:r>
        <w:t>**风险等级**：高</w:t>
      </w:r>
    </w:p>
    <w:p>
      <w:pPr>
        <w:pStyle w:val="ListBullet"/>
      </w:pPr>
      <w:r>
        <w:t>**审查结论**：合同中未直接援引已废止的《合同法》，但在附件四保密协议中援引了"国家有关法律、法规"，未具体指明现行有效的《民法典》合同编及相关司法解释，存在法律依据不明确的风险。</w:t>
      </w:r>
    </w:p>
    <w:p>
      <w:pPr>
        <w:pStyle w:val="ListBullet"/>
      </w:pPr>
      <w:r>
        <w:t>**原文引用**：「为了明确乙方的保密义务，甲、乙双方本着平等自愿、公平诚信的原则，依据国家有关法律、法规订立本保密协议。」</w:t>
      </w:r>
    </w:p>
    <w:p>
      <w:pPr>
        <w:pStyle w:val="ListBullet"/>
      </w:pPr>
      <w:r>
        <w:t>**所在位置**：附件四开头段落</w:t>
      </w:r>
    </w:p>
    <w:p>
      <w:pPr>
        <w:pStyle w:val="ListBullet"/>
      </w:pPr>
      <w:r>
        <w:t>**问题分析**：根据搜索结果，《合同法》已于2021年1月1日《民法典》施行时废止，合同中虽未直接引用《合同法》，但附件四仅笼统援引"国家有关法律、法规"，未明确指向《民法典》合同编及相关的司法解释，这不符合审查标准中"优先援引现行有效的《民法典》合同编及相关司法解释"的要求。</w:t>
      </w:r>
    </w:p>
    <w:p>
      <w:pPr>
        <w:pStyle w:val="ListBullet"/>
      </w:pPr>
      <w:r>
        <w:t>**法律依据**：</w:t>
      </w:r>
    </w:p>
    <w:p>
      <w:pPr>
        <w:pStyle w:val="ListBullet"/>
      </w:pPr>
      <w:r>
        <w:t>《民法典》第一千二百六十条：本法自2021年1月1日起施行。《中华人民共和国婚姻法》、《中华人民共和国继承法》、《中华人民共和国民法通则》、《中华人民共和国收养法》、《中华人民共和国担保法》、《中华人民共和国合同法》、《中华人民共和国物权法》、《中华人民共和国侵权责任法》、《中华人民共和国民法总则》同时废止。</w:t>
      </w:r>
    </w:p>
    <w:p>
      <w:pPr>
        <w:pStyle w:val="ListBullet"/>
      </w:pPr>
      <w:r>
        <w:t>**修改建议**：将附件四开头段落修改为："为了明确乙方的保密义务，甲、乙双方本着平等自愿、公平诚信的原则，依据《中华人民共和国民法典》合同编及相关司法解释订立本保密协议。"</w:t>
      </w:r>
    </w:p>
    <w:p>
      <w:r>
        <w:t>#### 检查要点：合同正文末尾须单独成行标注‘以下为合同签署栏’或‘以下无正文’字样，防止被篡改或增补</w:t>
      </w:r>
    </w:p>
    <w:p>
      <w:pPr>
        <w:pStyle w:val="ListBullet"/>
      </w:pPr>
      <w:r>
        <w:t>**风险等级**：高</w:t>
      </w:r>
    </w:p>
    <w:p>
      <w:pPr>
        <w:pStyle w:val="ListBullet"/>
      </w:pPr>
      <w:r>
        <w:t>**审查结论**：合同正文末尾未标注"以下为合同签署栏"或"以下无正文"字样，存在被篡改或增补的风险。</w:t>
      </w:r>
    </w:p>
    <w:p>
      <w:pPr>
        <w:pStyle w:val="ListBullet"/>
      </w:pPr>
      <w:r>
        <w:t>**原文引用**：「（注：涉及授权代理人签署的，请附法定代表人出具的授权书）」</w:t>
      </w:r>
    </w:p>
    <w:p>
      <w:pPr>
        <w:pStyle w:val="ListBullet"/>
      </w:pPr>
      <w:r>
        <w:t>**所在位置**：合同签约页末尾</w:t>
      </w:r>
    </w:p>
    <w:p>
      <w:pPr>
        <w:pStyle w:val="ListBullet"/>
      </w:pPr>
      <w:r>
        <w:t>**问题分析**：根据搜索结果，"以下无正文"通常出现在文本内容的末尾，用于明确标注主体内容已结束，后续页面可能存在空白或补充说明区域。合同当前结尾处仅有注释，未按规范要求标注"以下为合同签署栏"或"以下无正文"，这不符合合同签署的规范要求，可能影响合同的法律效力。</w:t>
      </w:r>
    </w:p>
    <w:p>
      <w:pPr>
        <w:pStyle w:val="ListBullet"/>
      </w:pPr>
      <w:r>
        <w:t>**法律依据**：合同签署规范要求（参考搜索结果）：正式文件签署宜使用钢笔或签字笔，不宜使用铅笔。在签字盖章之前，应注明"以下为合同签署栏"或"以下无正文"，且不要预留过多空白。</w:t>
      </w:r>
    </w:p>
    <w:p>
      <w:pPr>
        <w:pStyle w:val="ListBullet"/>
      </w:pPr>
      <w:r>
        <w:t>**修改建议**：在合同签约页末尾、注释之后，单独成行添加"以下为合同签署栏"字样，确保合同正文与签署栏的界限清晰明确。</w:t>
      </w:r>
    </w:p>
    <w:p>
      <w:r>
        <w:t>---</w:t>
      </w:r>
    </w:p>
    <w:p>
      <w:pPr>
        <w:pStyle w:val="Heading2"/>
      </w:pPr>
      <w:r>
        <w:t>四、优先处理建议</w:t>
      </w:r>
    </w:p>
    <w:p>
      <w:r>
        <w:t>以下问题须在合同签署前完成修订，否则将导致合同效力瑕疵、履约不可控、争议解决被动等系统性风险：</w:t>
      </w:r>
    </w:p>
    <w:p>
      <w:pPr>
        <w:pStyle w:val="Heading3"/>
      </w:pPr>
      <w:r>
        <w:t>【紧急】必须修订（高风险，影响合同成立与效力）</w:t>
      </w:r>
    </w:p>
    <w:p>
      <w:r>
        <w:t>1. **签约主体信息缺失**（审查标准1-检查要点1&amp;3）：合同首部必须明示乙方全称、统一社会信用代码、法定代表人、地址等法定信息；甲方资质核验机制须强制落地。</w:t>
      </w:r>
    </w:p>
    <w:p>
      <w:r>
        <w:t>2. **生效条件空白**（审查标准2-检查要点）：必须明确定义“本合同自双方法定代表人或授权代理人签字并加盖公章之日起生效”。</w:t>
      </w:r>
    </w:p>
    <w:p>
      <w:r>
        <w:t>3. **合同总价与税率税目缺失**（审查标准4-检查要点）：附件一必须以大小写形式载明含税总价（如“人民币叁佰万元整（¥3,000,000.00）”），并注明“适用增值税税率为6%，税目为‘信息技术服务’”。</w:t>
      </w:r>
    </w:p>
    <w:p>
      <w:r>
        <w:t>4. **标题层级错误与签署栏缺失**（审查标准7-检查要点）：删除重复第十二条，补全第十三条；在签约页末尾添加“以下为合同签署栏”。</w:t>
      </w:r>
    </w:p>
    <w:p>
      <w:pPr>
        <w:pStyle w:val="Heading3"/>
      </w:pPr>
      <w:r>
        <w:t>【重要】建议修订（高风险，影响履约控制与争议解决）</w:t>
      </w:r>
    </w:p>
    <w:p>
      <w:r>
        <w:t>5. **交付方式与地点空白**（审查标准2-检查要点）：明确约定“通过腾讯云控制台/API接口交付，交付地点为浙江省杭州市阿里云华东1（杭州）地域”。</w:t>
      </w:r>
    </w:p>
    <w:p>
      <w:r>
        <w:t>6. **服务开通日期定义冲突**（审查标准6-检查要点）：统一以乙方系统时间戳为准，并设定甲方2个工作日内核验义务。</w:t>
      </w:r>
    </w:p>
    <w:p>
      <w:r>
        <w:t>7. **验收标准不一致**（审查标准7-检查要点）：附件一、附件二统一采用“99.9%可用性”标准，并关联《附件七：技术规格书》测量方法。</w:t>
      </w:r>
    </w:p>
    <w:p>
      <w:r>
        <w:t>8. **尾款机制缺位**（审查标准5-检查要点）：增设“甲方预留合同总金额8%作为尾款，于服务期届满后30日内无争议支付”。</w:t>
      </w:r>
    </w:p>
    <w:p>
      <w:pPr>
        <w:pStyle w:val="Heading3"/>
      </w:pPr>
      <w:r>
        <w:t>【优化】可签约后补充（中风险，提升执行效率）</w:t>
      </w:r>
    </w:p>
    <w:p>
      <w:r>
        <w:t>9. 增补《附件七：CDN加速服务技术规格书》（含计费带宽API接口、缓存规则语法、泛域名证书标准）；</w:t>
      </w:r>
    </w:p>
    <w:p>
      <w:r>
        <w:t>10. 将“5个工作日内”统一修订为“5个自然日内”，消除期限单位混用；</w:t>
      </w:r>
    </w:p>
    <w:p>
      <w:r>
        <w:t>11. 清理“招标单位”等前置流程用语，全文统一为“甲方”。</w:t>
      </w:r>
    </w:p>
    <w:p>
      <w:r>
        <w:t>---</w:t>
      </w:r>
    </w:p>
    <w:p>
      <w:r>
        <w:t>**报告编制单位**：合同合规审查中心</w:t>
      </w:r>
    </w:p>
    <w:p>
      <w:r>
        <w:t>**日期**：2025年4月5日</w:t>
      </w:r>
    </w:p>
    <w:p>
      <w:r>
        <w:t>---</w:t>
      </w:r>
    </w:p>
    <w:p>
      <w:pPr>
        <w:pStyle w:val="Heading2"/>
      </w:pPr>
      <w:r>
        <w:t>附：审查标准覆盖核查表</w:t>
      </w:r>
    </w:p>
    <w:p>
      <w:r>
        <w:t>| 序号 | 审查内容 | 审查状态 |</w:t>
      </w:r>
    </w:p>
    <w:p>
      <w:r>
        <w:t>|------|---------|---------|</w:t>
      </w:r>
    </w:p>
    <w:p>
      <w:r>
        <w:t>| **1** | **核查签约主体的合法存续性与履约适格性** | **✅** |</w:t>
      </w:r>
    </w:p>
    <w:p>
      <w:r>
        <w:t>| 1.1 | 通过国家企业信用信息公示系统或司法大数据平台，核查该主体是否存在未结重大诉讼、仲裁、被执行、失信、严重违法等涉法涉诉记录 | ✅ |</w:t>
      </w:r>
    </w:p>
    <w:p>
      <w:r>
        <w:t>| 1.2 | 核对营业执照所载经营范围，确认合同项下标的（如软件采购）属于其登记的经营范围内，且无超范围经营风险 | ✅ |</w:t>
      </w:r>
    </w:p>
    <w:p>
      <w:r>
        <w:t>| 1.3 | 逐项比对合同中列明的主体信息（联系地址、联系电话、传真、法定代表人/负责人姓名及职务、指定联系人及联系方式）与最新工商登 | ✅ |</w:t>
      </w:r>
    </w:p>
    <w:p>
      <w:r>
        <w:t>| 1.4 | 若合同涉及软件等技术产品采购，须核查卖方是否拥有该软件的核心知识产权（如著作权登记证书、专利证书、授权链条完整性），或明 | ✅ |</w:t>
      </w:r>
    </w:p>
    <w:p>
      <w:r>
        <w:t>| **2** | **审查合同核心条款的完整性与结构完备性** | **✅** |</w:t>
      </w:r>
    </w:p>
    <w:p>
      <w:r>
        <w:t>| 2.1 | 确认合同是否完整涵盖以下必备要素：采购内容、合同金额、付款计划、合同期限、生效条件、知识产权归属/许可条款、产品质量保证 | ✅ |</w:t>
      </w:r>
    </w:p>
    <w:p>
      <w:r>
        <w:t>| 2.2 | 核实合同是否明确指定主要项目负责人，并完整载明其姓名、身份证号码、联系电话，且该信息具备可追溯性与法律约束力 | ✅ |</w:t>
      </w:r>
    </w:p>
    <w:p>
      <w:r>
        <w:t>| **3** | **确保标的物描述具体、唯一、可执行** | **✅** |</w:t>
      </w:r>
    </w:p>
    <w:p>
      <w:r>
        <w:t>| 3.1 | 采购内容须清晰列明品种、规格、型号、等级、花色等技术参数；对复杂或定制化标的，应通过附件（如技术规格书、配置清单）予以固 | ✅ |</w:t>
      </w:r>
    </w:p>
    <w:p>
      <w:r>
        <w:t>| 3.2 | 附件内容须与正文引用条款严格对应，避免出现‘详见附件’但附件缺失或未命名的情形 | ✅ |</w:t>
      </w:r>
    </w:p>
    <w:p>
      <w:r>
        <w:t>| **4** | **保障价款条款的准确性、完整性与合规性** | **✅** |</w:t>
      </w:r>
    </w:p>
    <w:p>
      <w:r>
        <w:t>| 4.1 | 合同金额须同时载明大小写，且二者完全一致；明确计量单位（如套、台、人天、License等） | ✅ |</w:t>
      </w:r>
    </w:p>
    <w:p>
      <w:r>
        <w:t>| 4.2 | 分项列明单价、数量、总价；币种须注明（如人民币/USD），涉及外币的须约定汇率适用规则 | ✅ |</w:t>
      </w:r>
    </w:p>
    <w:p>
      <w:r>
        <w:t>| 4.3 | 总价构成须清晰（如含税价/不含税价），并注明税率及对应税目 | ✅ |</w:t>
      </w:r>
    </w:p>
    <w:p>
      <w:r>
        <w:t>| **5** | **强化付款节点的确定性、风险对冲性与财税合规性** | **✅** |</w:t>
      </w:r>
    </w:p>
    <w:p>
      <w:r>
        <w:t>| 5.1 | 付款节点须以明确事件（如‘合同签订后5个工作日内’‘初验合格签署确认单后10日内’）或时间（如‘2025年6月30日前’ | ✅ |</w:t>
      </w:r>
    </w:p>
    <w:p>
      <w:r>
        <w:t>| 5.2 | 预留不低于合同总额5%—10%的尾款，明确约定于免费维保期（须注明起算日及期限）届满且无质量争议后支付 | ✅ |</w:t>
      </w:r>
    </w:p>
    <w:p>
      <w:r>
        <w:t>| 5.3 | 每笔付款均须对应约定发票类型（如增值税专用发票）、开票时点及开票信息要求 | ✅ |</w:t>
      </w:r>
    </w:p>
    <w:p>
      <w:r>
        <w:t>| **6** | **消除期限表述歧义，确保履行节奏可控** | **✅** |</w:t>
      </w:r>
    </w:p>
    <w:p>
      <w:r>
        <w:t>| 6.1 | 合同期限须明确起止日期（如‘自2025年1月1日起至2026年12月31日止’），或采用‘自然日/工作日’‘自然季度/滚 | ✅ |</w:t>
      </w:r>
    </w:p>
    <w:p>
      <w:r>
        <w:t>| 6.2 | 若采用周期计算（如‘自生效日起满12个月’），须明确定义起始日（如‘双方签字盖章之日’）及终止日计算规则（如‘截止至第1 | ✅ |</w:t>
      </w:r>
    </w:p>
    <w:p>
      <w:r>
        <w:t>| **7** | **开展文本形式与逻辑一致性校验** | **✅** |</w:t>
      </w:r>
    </w:p>
    <w:p>
      <w:r>
        <w:t>| 7.1 | 通读全文，排查错别字、标点误用、标题层级混乱（如‘第一条’后直接跳至‘第三条’）、语句成分残缺或逻辑矛盾等低级错误 | ✅ |</w:t>
      </w:r>
    </w:p>
    <w:p>
      <w:r>
        <w:t>| 7.2 | 核验付款计划各期金额加总是否等于合同总金额；大小写金额是否完全一致 | ✅ |</w:t>
      </w:r>
    </w:p>
    <w:p>
      <w:r>
        <w:t>| 7.3 | 比对正文与所有附件中相同条款（如验收标准、知识产权、违约责任）的表述是否严格一致，禁止存在冲突或简化省略 | ✅ |</w:t>
      </w:r>
    </w:p>
    <w:p>
      <w:r>
        <w:t>| 7.4 | 清理招标文件、谈判纪要等前置流程中残留用语（如‘投标单位’‘响应人’‘谈判小组’），统一替换为合同语境下的规范主体称谓（ | ✅ |</w:t>
      </w:r>
    </w:p>
    <w:p>
      <w:r>
        <w:t>| 7.5 | 确认合同首部‘甲方/乙方’全称、签约页‘甲方（盖章）’‘乙方（盖章）’处名称、落款签章处名称三者完全一致，不得缩写、简写 | ✅ |</w:t>
      </w:r>
    </w:p>
    <w:p>
      <w:r>
        <w:t>| 7.6 | 核查援引的法律法规名称、颁布机关、施行日期是否准确有效（如不得引用已废止的《合同法》），优先援引现行有效的《民法典》合同 | ✅ |</w:t>
      </w:r>
    </w:p>
    <w:p>
      <w:r>
        <w:t>| 7.7 | 合同正文末尾须单独成行标注‘以下为合同签署栏’或‘以下无正文’字样，防止被篡改或增补 | ✅ |</w:t>
      </w:r>
    </w:p>
    <w:p>
      <w:r>
        <w:t>**覆盖率：23/23（100%）**</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本报告由 AI 法律顾问系统生成，仅供参考，不构成正式法律意见。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独立法律审查报告 | Independent Legal Review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SimHei" w:hAnsi="SimHei"/>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