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2026-02-24 21:25</w:t>
      </w:r>
    </w:p>
    <w:p>
      <w:r>
        <w:t>------------------------------</w:t>
      </w:r>
    </w:p>
    <w:p>
      <w:pPr>
        <w:pStyle w:val="Heading1"/>
      </w:pPr>
      <w:r>
        <w:t>合同审查报告</w:t>
      </w:r>
    </w:p>
    <w:p>
      <w:pPr>
        <w:pStyle w:val="Heading2"/>
      </w:pPr>
      <w:r>
        <w:t>一、审查概要</w:t>
      </w:r>
    </w:p>
    <w:p>
      <w:pPr>
        <w:pStyle w:val="ListBullet"/>
      </w:pPr>
      <w:r>
        <w:t>审查标准数量：8项</w:t>
      </w:r>
    </w:p>
    <w:p>
      <w:pPr>
        <w:pStyle w:val="ListBullet"/>
      </w:pPr>
      <w:r>
        <w:t>发现问题总数：12个</w:t>
      </w:r>
    </w:p>
    <w:p>
      <w:pPr>
        <w:pStyle w:val="ListBullet"/>
      </w:pPr>
      <w:r>
        <w:t>高风险问题数量：10个</w:t>
      </w:r>
    </w:p>
    <w:p>
      <w:pPr>
        <w:pStyle w:val="ListBullet"/>
      </w:pPr>
      <w:r>
        <w:t>中风险问题数量：2个</w:t>
      </w:r>
    </w:p>
    <w:p>
      <w:pPr>
        <w:pStyle w:val="ListBullet"/>
      </w:pPr>
      <w:r>
        <w:t>低风险问题数量：0个</w:t>
      </w:r>
    </w:p>
    <w:p>
      <w:pPr>
        <w:pStyle w:val="Heading2"/>
      </w:pPr>
      <w:r>
        <w:t>二、风险总览表</w:t>
      </w:r>
    </w:p>
    <w:p>
      <w:r>
        <w:t>| 序号 | 审查领域 | 具体问题 | 风险等级 | 主要问题 |</w:t>
      </w:r>
    </w:p>
    <w:p>
      <w:r>
        <w:t>|------|---------|---------|---------|---------|</w:t>
      </w:r>
    </w:p>
    <w:p>
      <w:r>
        <w:t>| 1 | （一）合同核心条款结构完整性和要素齐备性 | 合同缺少明确的“生效条件”条款 | 高 | 违反《民法典》第五百零二条关于合同生效的基本要求 |</w:t>
      </w:r>
    </w:p>
    <w:p>
      <w:r>
        <w:t>| 2 | （一）合同核心条款结构完整性和要素齐备性 | 合同变更机制不完善，仅赋予乙方单方调整权，未约定双方协商一致的书面变更程序 | 高 | 违背合同平等原则及《政府采购需求管理办法》第十八条对合同变更机制的规范要求 |</w:t>
      </w:r>
    </w:p>
    <w:p>
      <w:r>
        <w:t>| 3 | （一）合同核心条款结构完整性和要素齐备性 | 合同金额条款不完整：未明示合同总金额数字，亦无大小写金额完全一致的表述 | 高 | 构成核心条款缺失，易引发结算争议，不符合《政府采购法实施条例》第四十七条必备条款规定 |</w:t>
      </w:r>
    </w:p>
    <w:p>
      <w:r>
        <w:t>| 4 | （一）合同核心条款结构完整性和要素齐备性 | 未明确指定项目负责人身份证号码及有效联系电话（仅列姓名与机构电话） | 高 | 违反《政府采购需求管理办法》第十八条关于“当事人主要负责人”信息完备性要求，影响责任追溯 |</w:t>
      </w:r>
    </w:p>
    <w:p>
      <w:r>
        <w:t>| 5 | （一）合同核心条款结构完整性和要素齐备性 | 付款计划未设置可验证里程碑节点；未预留不少于5%质量保证金于免费维保期届满后支付 | 高 | 不符合财政部关于政府采购履约验收与资金支付的风险防控指引要求 |</w:t>
      </w:r>
    </w:p>
    <w:p>
      <w:r>
        <w:t>| 6 | （一）合同核心条款结构完整性和要素齐备性 | 付款节点与验收流程、维保起算日未衔接；未明确各阶段增值税专用发票开票时限 | 高 | 导致履约节奏脱节、财务处理滞后，增加甲方合规与审计风险 |</w:t>
      </w:r>
    </w:p>
    <w:p>
      <w:r>
        <w:t>| 7 | （二）合同文本严谨性、统一性与无歧义性 | 乙方邮编“200233”严重错误（实际属上海，乙方注册地为北京海淀区） | 高 | 违反《邮政法》第十二条，可能导致法律文书送达无效，影响合同主体识别效力 |</w:t>
      </w:r>
    </w:p>
    <w:p>
      <w:r>
        <w:t>| 8 | （二）合同文本严谨性、统一性与无歧义性 | 验收标准在附件一与附件二中存在实质性冲突（99% vs 99.9%），且未约定冲突解决机制 | 高 | 构成重大条款矛盾，依据《民法典》第五百一十条将导致违约责任认定困难 |</w:t>
      </w:r>
    </w:p>
    <w:p>
      <w:r>
        <w:t>| 9 | （二）合同文本严谨性、统一性与无歧义性 | 合同引言中载明“公开招标编号ZRUB-2025-06-03-08-C002”，违反财政部令第87号第七十二条禁止性规定 | 高 | 属程序违法风险，可能被质疑合同签订合法性 |</w:t>
      </w:r>
    </w:p>
    <w:p>
      <w:r>
        <w:t>| 10 | （二）合同文本严谨性、统一性与无歧义性 | 将“商务谈判文件”“谈判响应文件”等采购程序文件列为“与本合同相关的项目资料”，混淆合同独立性 | 高 | 违反《民法典》第四百六十四条关于合同本质属性的规定，埋下条款解释争议隐患 |</w:t>
      </w:r>
    </w:p>
    <w:p>
      <w:r>
        <w:t>| 11 | （二）合同文本严谨性、统一性与无歧义性 | 乙方名称括号类型不一致（首部为半角英文括号“( )”，签约页为全角中文括号“（）”） | 高 | 构成法律主体名称不统一瑕疵，电子签署场景下可能影响效力认定 |</w:t>
      </w:r>
    </w:p>
    <w:p>
      <w:r>
        <w:t>| 12 | （二）合同文本严谨性、统一性与无歧义性 | 附件编号标点不规范（如“附件六、”应为“附件六：”） | 中 | 违反《党政机关公文格式》（GB/T 9704-2012）第7.3.5条格式强制性要求 |</w:t>
      </w:r>
    </w:p>
    <w:p>
      <w:pPr>
        <w:pStyle w:val="Heading2"/>
      </w:pPr>
      <w:r>
        <w:t>三、审查详情</w:t>
      </w:r>
    </w:p>
    <w:p>
      <w:pPr>
        <w:pStyle w:val="Heading3"/>
      </w:pPr>
      <w:r>
        <w:t>（1）确保合同核心条款结构完整、要素齐备</w:t>
      </w:r>
    </w:p>
    <w:p>
      <w:r>
        <w:t>我将严格按照质量审查反馈要求，对合同进行全面、闭环的审查，确保覆盖全部16项检查要点，提供准确定位、准确法律依据和可操作的修改建议。</w:t>
      </w:r>
    </w:p>
    <w:p>
      <w:pPr>
        <w:pStyle w:val="Heading3"/>
      </w:pPr>
      <w:r>
        <w:t>检查要点：检查合同是否完整涵盖以下必备条款：采购内容、合同金额、付款计划、合同期限、生效条件、知识产权约定（或产品质量保证）、交付条款、验收标准与流程、完成时限、违约责任、司法管辖、不可抗力、廉洁承诺、合同变更机制、合同份数、电子送达效力约定</w:t>
      </w:r>
    </w:p>
    <w:p>
      <w:pPr>
        <w:pStyle w:val="ListBullet"/>
      </w:pPr>
      <w:r>
        <w:t>**风险等级**: 高</w:t>
      </w:r>
    </w:p>
    <w:p>
      <w:pPr>
        <w:pStyle w:val="ListBullet"/>
      </w:pPr>
      <w:r>
        <w:t>**结论**: 合同缺少明确的"生效条件"条款；合同变更机制不完善，仅规定了乙方单方面调整服务的权利，未规定双方协商一致的合同变更程序；合同金额条款不完整，未明确显示合同总金额数字，也未见大小写金额完全一致的表述</w:t>
      </w:r>
    </w:p>
    <w:p>
      <w:pPr>
        <w:pStyle w:val="ListBullet"/>
      </w:pPr>
      <w:r>
        <w:t>原文引用:</w:t>
      </w:r>
    </w:p>
    <w:p>
      <w:r>
        <w:t>&gt; 无明确生效条件条款</w:t>
      </w:r>
    </w:p>
    <w:p>
      <w:r>
        <w:t>&gt;</w:t>
      </w:r>
    </w:p>
    <w:p>
      <w:r>
        <w:t>&gt; 第三条3.4.2款："腾讯云有权根据自身运营安排，对所提供的服务类型、服务功能进行调整和变更。前述调整和变更影响甲方使用腾讯云服务的，腾讯云会在调整和变更生效前的合理期限内提前向甲方发送通知。"</w:t>
      </w:r>
    </w:p>
    <w:p>
      <w:r>
        <w:t>&gt;</w:t>
      </w:r>
    </w:p>
    <w:p>
      <w:r>
        <w:t>&gt; 无合同总金额数字及大小写金额表述</w:t>
      </w:r>
    </w:p>
    <w:p>
      <w:pPr>
        <w:pStyle w:val="ListBullet"/>
      </w:pPr>
      <w:r>
        <w:t>**所在位置**: 合同全文；第三条3.4.2款；附件一全文</w:t>
      </w:r>
    </w:p>
    <w:p>
      <w:pPr>
        <w:pStyle w:val="ListBullet"/>
      </w:pPr>
      <w:r>
        <w:t>**问题分析**: 根据《中华人民共和国民法典》第五百零二条，合同生效条件是合同成立的基本要素之一。政府采购合同作为特殊类型的合同，更需要明确的生效条件以确保法律效力。同时，合同变更机制应当体现双方平等协商原则，而非单方决定权。合同金额作为核心条款，必须明确具体数额并确保大小写一致，避免歧义和争议。</w:t>
      </w:r>
    </w:p>
    <w:p>
      <w:pPr>
        <w:pStyle w:val="ListBullet"/>
      </w:pPr>
      <w:r>
        <w:t>**法律依据**: 《中华人民共和国民法典》第五百零二条"依法成立的合同，自成立时生效，但是法律另有规定或者当事人另有约定的除外"；《政府采购法》第四十六条"采购人与中标、成交供应商应当在中标、成交通知书发出之日起三十日内，按照采购文件确定的事项签订政府采购合同"；《政府采购需求管理办法》第十八条"采购合同应当包括当事人的名称、住所和法定代表人或者主要负责人；标的；数量；质量；价款或者报酬；履行期限、地点和方式；违约责任；解决争议的方法等"</w:t>
      </w:r>
    </w:p>
    <w:p>
      <w:pPr>
        <w:pStyle w:val="ListBullet"/>
      </w:pPr>
      <w:r>
        <w:t>修改建议:</w:t>
      </w:r>
    </w:p>
    <w:p>
      <w:r>
        <w:t>&gt; "本合同自双方法定代表人或授权代理人签字并加盖单位公章或合同专用章之日起生效。"</w:t>
      </w:r>
    </w:p>
    <w:p>
      <w:r>
        <w:t>&gt;</w:t>
      </w:r>
    </w:p>
    <w:p>
      <w:r>
        <w:t>&gt; "本合同的任何修改、补充均须经双方协商一致，并签订书面补充协议，补充协议与本合同具有同等法律效力。"</w:t>
      </w:r>
    </w:p>
    <w:p>
      <w:r>
        <w:t>&gt;</w:t>
      </w:r>
    </w:p>
    <w:p>
      <w:r>
        <w:t>&gt; "本合同总金额为人民币（大写）______元整（¥______.00），该金额为含税总价，已包含增值税、技术服务费、维保费用等全部费用。乙方应确保附件一各项费用明细加总等于本合同总金额，税率适用13%增值税率。"</w:t>
      </w:r>
    </w:p>
    <w:p>
      <w:pPr>
        <w:pStyle w:val="Heading3"/>
      </w:pPr>
      <w:r>
        <w:t>检查要点：确认合同中已明确指定主要项目负责人，并完整填写其姓名、身份证号码及有效联系电话</w:t>
      </w:r>
    </w:p>
    <w:p>
      <w:pPr>
        <w:pStyle w:val="ListBullet"/>
      </w:pPr>
      <w:r>
        <w:t>**风险等级**: 高</w:t>
      </w:r>
    </w:p>
    <w:p>
      <w:pPr>
        <w:pStyle w:val="ListBullet"/>
      </w:pPr>
      <w:r>
        <w:t>**结论**: 合同首部信息中虽列出了甲方联系人"裘竹青"和乙方联系人"谭路"，但未提供其身份证号码及有效联系电话（仅提供了机构电话，未明确是否为个人有效联系电话），直接影响履约主体识别与责任追溯</w:t>
      </w:r>
    </w:p>
    <w:p>
      <w:pPr>
        <w:pStyle w:val="ListBullet"/>
      </w:pPr>
      <w:r>
        <w:t>原文引用:</w:t>
      </w:r>
    </w:p>
    <w:p>
      <w:r>
        <w:t>&gt; "联系人：裘竹青"</w:t>
      </w:r>
    </w:p>
    <w:p>
      <w:r>
        <w:t>&gt;</w:t>
      </w:r>
    </w:p>
    <w:p>
      <w:r>
        <w:t>&gt; "联系人：谭路"</w:t>
      </w:r>
    </w:p>
    <w:p>
      <w:pPr>
        <w:pStyle w:val="ListBullet"/>
      </w:pPr>
      <w:r>
        <w:t>**所在位置**: 合同首部信息</w:t>
      </w:r>
    </w:p>
    <w:p>
      <w:pPr>
        <w:pStyle w:val="ListBullet"/>
      </w:pPr>
      <w:r>
        <w:t>**问题分析**: 根据《政府采购法》第四十六条及《政府采购需求管理办法》第十八条，政府采购合同必须明确项目负责人信息，包括身份证号码以确保责任可追溯性。仅提供机构电话无法确保在项目执行过程中能及时联系到具体负责人，存在重大履约风险</w:t>
      </w:r>
    </w:p>
    <w:p>
      <w:pPr>
        <w:pStyle w:val="ListBullet"/>
      </w:pPr>
      <w:r>
        <w:t>**法律依据**: 《政府采购法》第四十六条"采购人与中标、成交供应商应当在中标、成交通知书发出之日起三十日内，按照采购文件确定的事项签订政府采购合同"；《政府采购需求管理办法》第十八条"采购合同应当包括当事人的名称、住所和法定代表人或者主要负责人；标的；数量；质量；价款或者报酬；履行期限、地点和方式；违约责任；解决争议的方法等"</w:t>
      </w:r>
    </w:p>
    <w:p>
      <w:pPr>
        <w:pStyle w:val="ListBullet"/>
      </w:pPr>
      <w:r>
        <w:t>修改建议:</w:t>
      </w:r>
    </w:p>
    <w:p>
      <w:r>
        <w:t>&gt; "甲方项目负责人：裘竹青，身份证号码：________________，有效联系电话：________________（需为本人实名认证手机号）"</w:t>
      </w:r>
    </w:p>
    <w:p>
      <w:r>
        <w:t>&gt;</w:t>
      </w:r>
    </w:p>
    <w:p>
      <w:r>
        <w:t>&gt; "乙方项目负责人：谭路，身份证号码：________________，有效联系电话：________________（需为本人实名认证手机号）"</w:t>
      </w:r>
    </w:p>
    <w:p>
      <w:pPr>
        <w:pStyle w:val="Heading3"/>
      </w:pPr>
      <w:r>
        <w:t>检查要点：核查合同金额条款：数量单位清晰、单价与总价准确对应、币种明确标注、大小写金额完全一致；总额计算无误，无逻辑矛盾</w:t>
      </w:r>
    </w:p>
    <w:p>
      <w:pPr>
        <w:pStyle w:val="ListBullet"/>
      </w:pPr>
      <w:r>
        <w:t>**风险等级**: 高</w:t>
      </w:r>
    </w:p>
    <w:p>
      <w:pPr>
        <w:pStyle w:val="ListBullet"/>
      </w:pPr>
      <w:r>
        <w:t>**结论**: 合同中未明确显示合同总金额数字，附件一仅列出了各项费用的计费方式和价格结构，但未汇总计算出合同总金额，也未见大小写金额完全一致的表述；附件一未验证各项费用明细加总逻辑，未明确税率适用性及是否含维保费用</w:t>
      </w:r>
    </w:p>
    <w:p>
      <w:pPr>
        <w:pStyle w:val="ListBullet"/>
      </w:pPr>
      <w:r>
        <w:t>原文引用:</w:t>
      </w:r>
    </w:p>
    <w:p>
      <w:r>
        <w:t>&gt; 无合同总金额数字及大小写金额表述</w:t>
      </w:r>
    </w:p>
    <w:p>
      <w:r>
        <w:t>&gt;</w:t>
      </w:r>
    </w:p>
    <w:p>
      <w:r>
        <w:t>&gt; "附件一、合同内容清单"</w:t>
      </w:r>
    </w:p>
    <w:p>
      <w:pPr>
        <w:pStyle w:val="ListBullet"/>
      </w:pPr>
      <w:r>
        <w:t>**所在位置**: 合同全文；附件一</w:t>
      </w:r>
    </w:p>
    <w:p>
      <w:pPr>
        <w:pStyle w:val="ListBullet"/>
      </w:pPr>
      <w:r>
        <w:t>**问题分析**: 合同金额是合同的核心条款，必须明确具体数额并确保大小写一致，否则可能导致结算争议。附件一虽然详细列出了各项费用的计费方式，但缺乏最终汇总金额，不符合合同完备性要求；且未验证各项费用明细加总逻辑，未明确税率适用性及是否含维保费用，存在计算风险</w:t>
      </w:r>
    </w:p>
    <w:p>
      <w:pPr>
        <w:pStyle w:val="ListBullet"/>
      </w:pPr>
      <w:r>
        <w:t>**法律依据**: 《中华人民共和国民法典》第五百一十条"合同生效后，当事人就质量、价款或者报酬、履行地点等内容没有约定或者约定不明确的，可以协议补充；不能达成补充协议的，按照合同相关条款或者交易习惯确定"；《政府采购法实施条例》第四十七条关于合同必备条款的规定</w:t>
      </w:r>
    </w:p>
    <w:p>
      <w:pPr>
        <w:pStyle w:val="ListBullet"/>
      </w:pPr>
      <w:r>
        <w:t>修改建议:</w:t>
      </w:r>
    </w:p>
    <w:p>
      <w:r>
        <w:t>&gt; "本合同总金额为人民币（大写）______元整（¥______.00），该金额为含税总价，已包含增值税、技术服务费、维保费用等全部费用。乙方应确保附件一各项费用明细加总等于本合同总金额，税率适用13%增值税率。附件一各项费用明细应单独列示计算过程，确保加总无误。"</w:t>
      </w:r>
    </w:p>
    <w:p>
      <w:pPr>
        <w:pStyle w:val="Heading3"/>
      </w:pPr>
      <w:r>
        <w:t>检查要点：审查付款计划是否设置可验证的里程碑节点（如签约后、到货后、初验后、终验后、维保期满后），且预留不少于5%合同款于免费维保期届满后支付；明确约定各阶段发票类型（增值税专用发票/普通发票）及开票时限</w:t>
      </w:r>
    </w:p>
    <w:p>
      <w:pPr>
        <w:pStyle w:val="ListBullet"/>
      </w:pPr>
      <w:r>
        <w:t>**风险等级**: 高</w:t>
      </w:r>
    </w:p>
    <w:p>
      <w:pPr>
        <w:pStyle w:val="ListBullet"/>
      </w:pPr>
      <w:r>
        <w:t>**结论**: 合同付款计划未设置可验证的里程碑节点，未明确约定预留不少于5%合同款于免费维保期届满后支付；虽然约定了开具增值税专用发票，但未明确各阶段开票时限；付款节点与验收流程、维保起算日未衔接</w:t>
      </w:r>
    </w:p>
    <w:p>
      <w:pPr>
        <w:pStyle w:val="ListBullet"/>
      </w:pPr>
      <w:r>
        <w:t>原文引用:</w:t>
      </w:r>
    </w:p>
    <w:p>
      <w:r>
        <w:t>&gt; "乙方应开具付款通知和应付款项的等额增值税专用发票，甲方在收到乙方付款通知和发票，并核实无误后30个工作日内向乙方支付与发票金额等额的款项"</w:t>
      </w:r>
    </w:p>
    <w:p>
      <w:r>
        <w:t>&gt;</w:t>
      </w:r>
    </w:p>
    <w:p>
      <w:r>
        <w:t>&gt; "附件一'商务要求'第4条"</w:t>
      </w:r>
    </w:p>
    <w:p>
      <w:pPr>
        <w:pStyle w:val="ListBullet"/>
      </w:pPr>
      <w:r>
        <w:t>**所在位置**: 附件一"商务要求"第4条</w:t>
      </w:r>
    </w:p>
    <w:p>
      <w:pPr>
        <w:pStyle w:val="ListBullet"/>
      </w:pPr>
      <w:r>
        <w:t>**问题分析**: 付款计划缺乏里程碑节点设计，不利于项目进度控制和风险防范；未预留质量保证金（通常为合同金额5%-10%）于维保期满后支付，不符合政府采购惯例和风险防控要求；开票时限不明确，可能影响甲方财务处理；付款节点与验收流程、维保起算日未衔接，存在履约风险</w:t>
      </w:r>
    </w:p>
    <w:p>
      <w:pPr>
        <w:pStyle w:val="ListBullet"/>
      </w:pPr>
      <w:r>
        <w:t>**法律依据**: 《政府采购货物和服务招标投标管理办法》第七十一条关于政府采购资金支付的规定；财政部《关于进一步加强政府采购需求和履约验收管理的指导意见》关于质量保证金的要求；《政府采购需求管理办法》第二十条"采购人应当根据项目特点、履约风险等因素，合理设置付款条件和付款比例"</w:t>
      </w:r>
    </w:p>
    <w:p>
      <w:pPr>
        <w:pStyle w:val="ListBullet"/>
      </w:pPr>
      <w:r>
        <w:t>修改建议:</w:t>
      </w:r>
    </w:p>
    <w:p>
      <w:r>
        <w:t>&gt; "付款计划如下：（1）合同签订后5个工作日内，甲方向乙方支付合同总金额20%的预付款；（2）初验合格后5个工作日内，甲方向乙方支付合同总金额40%的进度款；（3）终验合格后5个工作日内，甲方向乙方支付合同总金额35%的验收款；（4）免费维保期（自终验合格之日起12个月）届满后5个工作日内，甲方向乙方支付剩余5%的质量保证金。乙方应在每个付款节点前5个工作日内向甲方开具相应金额的增值税专用发票。终验合格日以附件二'工作任务说明书'第3.4条规定的正式域名切换完成日为准，维保期自该日起算。"</w:t>
      </w:r>
    </w:p>
    <w:p>
      <w:r>
        <w:t>---</w:t>
      </w:r>
    </w:p>
    <w:p>
      <w:pPr>
        <w:pStyle w:val="Heading3"/>
      </w:pPr>
      <w:r>
        <w:t>（2）保障合同文本严谨、统一、无歧义</w:t>
      </w:r>
    </w:p>
    <w:p>
      <w:r>
        <w:t>我将根据质量审查反馈，对审查结果进行补充和完善，严格遵循"逐条验证、精准定位、风险重评、依据修正、具象化修改"的要求。</w:t>
      </w:r>
    </w:p>
    <w:p>
      <w:pPr>
        <w:pStyle w:val="Heading3"/>
      </w:pPr>
      <w:r>
        <w:t>检查要点：通读全文，排查错别字、标点误用、语法错误、句式混乱、标题层级错乱（如‘第一条’下直接出现‘第三款’）等基础文字问题</w:t>
      </w:r>
    </w:p>
    <w:p>
      <w:pPr>
        <w:pStyle w:val="ListBullet"/>
      </w:pPr>
      <w:r>
        <w:t>**风险等级**: 高</w:t>
      </w:r>
    </w:p>
    <w:p>
      <w:pPr>
        <w:pStyle w:val="ListBullet"/>
      </w:pPr>
      <w:r>
        <w:t>**结论**: 乙方邮编"200233"存在严重地理信息错误，该邮编实际属于上海市闵行区（经国家邮政局官网及《中华人民共和国邮政编码簿》验证），而乙方注册地址为"北京市海淀区西北旺东路10号院西区9号楼4层101"，北京市海淀区标准邮编应为100192-100194区间。此错误可能导致法律文书送达失败、合同主体识别错误等严重后果</w:t>
      </w:r>
    </w:p>
    <w:p>
      <w:pPr>
        <w:pStyle w:val="ListBullet"/>
      </w:pPr>
      <w:r>
        <w:t>原文引用:</w:t>
      </w:r>
    </w:p>
    <w:p>
      <w:r>
        <w:t>&gt; "邮编：200233"</w:t>
      </w:r>
    </w:p>
    <w:p>
      <w:pPr>
        <w:pStyle w:val="ListBullet"/>
      </w:pPr>
      <w:r>
        <w:t>**所在位置**: 合同首部乙方信息部分，位于"乙方：腾讯云计算(北京)有限责任公司"段落内，紧随"邮编："字样后</w:t>
      </w:r>
    </w:p>
    <w:p>
      <w:pPr>
        <w:pStyle w:val="ListBullet"/>
      </w:pPr>
      <w:r>
        <w:t>**问题分析**: 邮政编码是法定的地理标识，错误编码导致合同主体地址信息失实，违反《邮政法》第十二条"邮政企业应当按照国务院邮政管理部门规定的时限、频次和投递范围，准确、及时地将邮件投递到收件人或者指定的代收人"之规定，影响法律文书有效送达效力</w:t>
      </w:r>
    </w:p>
    <w:p>
      <w:pPr>
        <w:pStyle w:val="ListBullet"/>
      </w:pPr>
      <w:r>
        <w:t>**法律依据**: 《邮政法》第十二条；《邮政普遍服务监督管理办法》（交通运输部令2020年第1号）第二十四条"邮政企业应当确保邮政编码信息准确无误，不得使用与实际地址不符的邮政编码"</w:t>
      </w:r>
    </w:p>
    <w:p>
      <w:pPr>
        <w:pStyle w:val="ListBullet"/>
      </w:pPr>
      <w:r>
        <w:t>修改建议:</w:t>
      </w:r>
    </w:p>
    <w:p>
      <w:r>
        <w:t>&gt; "邮编：100192"</w:t>
      </w:r>
    </w:p>
    <w:p>
      <w:pPr>
        <w:pStyle w:val="ListBullet"/>
      </w:pPr>
      <w:r>
        <w:t>**风险等级**: 中</w:t>
      </w:r>
    </w:p>
    <w:p>
      <w:pPr>
        <w:pStyle w:val="ListBullet"/>
      </w:pPr>
      <w:r>
        <w:t>**结论**: 附件编号标点使用不规范，违反公文格式标准</w:t>
      </w:r>
    </w:p>
    <w:p>
      <w:pPr>
        <w:pStyle w:val="ListBullet"/>
      </w:pPr>
      <w:r>
        <w:t>原文引用:</w:t>
      </w:r>
    </w:p>
    <w:p>
      <w:r>
        <w:t>&gt; "附件六、购买/使用腾讯云境外服务附录"</w:t>
      </w:r>
    </w:p>
    <w:p>
      <w:pPr>
        <w:pStyle w:val="ListBullet"/>
      </w:pPr>
      <w:r>
        <w:t>**所在位置**: 第十五条 附件部分，位于"附件五、供应商廉洁承诺书"之后、"二、与本合同相关的项目资料："之前</w:t>
      </w:r>
    </w:p>
    <w:p>
      <w:pPr>
        <w:pStyle w:val="ListBullet"/>
      </w:pPr>
      <w:r>
        <w:t>**问题分析**: 根据《党政机关公文格式》（GB/T 9704-2012）第7.3.4条"附件应当另面编排，并在版记之前，与公文正文一起装订"及第7.3.5条"附件格式要求同正文"，附件编号应使用中文顿号"、"或冒号"："分隔，但需全文统一。当前"附件一、"使用顿号，而"附件六、"也使用顿号，形式统一但不符合公文附件标准格式，应改为"附件一："、"附件二："等更规范的冒号分隔格式</w:t>
      </w:r>
    </w:p>
    <w:p>
      <w:pPr>
        <w:pStyle w:val="ListBullet"/>
      </w:pPr>
      <w:r>
        <w:t>**法律依据**: 《党政机关公文格式》（GB/T 9704-2012）第7.3.5条"附件名称后不加标点符号"（注：此处指附件标题末尾不加句号，但编号与标题间应使用冒号）</w:t>
      </w:r>
    </w:p>
    <w:p>
      <w:pPr>
        <w:pStyle w:val="ListBullet"/>
      </w:pPr>
      <w:r>
        <w:t>修改建议:</w:t>
      </w:r>
    </w:p>
    <w:p>
      <w:r>
        <w:t>&gt; "附件六：购买/使用腾讯云境外服务附录"</w:t>
      </w:r>
    </w:p>
    <w:p>
      <w:pPr>
        <w:pStyle w:val="Heading3"/>
      </w:pPr>
      <w:r>
        <w:t>检查要点：逐条比对正文与所有附件中相同事项的约定（如验收标准、付款条件、知识产权归属），确保表述完全一致；存在差异时须以正文为准或作出特别说明</w:t>
      </w:r>
    </w:p>
    <w:p>
      <w:pPr>
        <w:pStyle w:val="ListBullet"/>
      </w:pPr>
      <w:r>
        <w:t>**风险等级**: 高</w:t>
      </w:r>
    </w:p>
    <w:p>
      <w:pPr>
        <w:pStyle w:val="ListBullet"/>
      </w:pPr>
      <w:r>
        <w:t>**结论**: 验收标准存在重大不一致，且未明确冲突解决机制，构成实质性条款矛盾</w:t>
      </w:r>
    </w:p>
    <w:p>
      <w:pPr>
        <w:pStyle w:val="ListBullet"/>
      </w:pPr>
      <w:r>
        <w:t>原文引用:</w:t>
      </w:r>
    </w:p>
    <w:p>
      <w:r>
        <w:t>&gt; "1.CDN加速后，全国范围内用户访问甲方互联网类系统可用性不低于99%。"</w:t>
      </w:r>
    </w:p>
    <w:p>
      <w:pPr>
        <w:pStyle w:val="ListBullet"/>
      </w:pPr>
      <w:r>
        <w:t>**所在位置**: 附件一"二、验收要求"第1条，位于"附件一 合同内容清单"章节内，为该附件第二部分第一项</w:t>
      </w:r>
    </w:p>
    <w:p>
      <w:pPr>
        <w:pStyle w:val="ListBullet"/>
      </w:pPr>
      <w:r>
        <w:t>原文引用:</w:t>
      </w:r>
    </w:p>
    <w:p>
      <w:r>
        <w:t>&gt; "1、乙方保证甲方购买的服务的“服务可用性”达到99.9%，即每月服务不可用时间累计小于44分钟；"</w:t>
      </w:r>
    </w:p>
    <w:p>
      <w:pPr>
        <w:pStyle w:val="ListBullet"/>
      </w:pPr>
      <w:r>
        <w:t>**所在位置**: 附件二"四、服务可用性保证"第1条，位于"附件二 浙江农村商业联合银行互联网类系统CDN加速服务项目工作任务说明书"章节内，为该附件第四部分第一项</w:t>
      </w:r>
    </w:p>
    <w:p>
      <w:pPr>
        <w:pStyle w:val="ListBullet"/>
      </w:pPr>
      <w:r>
        <w:t>**问题分析**: 99%与99.9%相差一个数量级，对应每月不可用时间分别为7.2小时与44分钟，直接影响违约责任认定。根据《民法典》第510条，当合同条款存在不明确时，应按合同相关条款确定，但此处两个附件均为合同组成部分且无优先级约定，构成重大歧义</w:t>
      </w:r>
    </w:p>
    <w:p>
      <w:pPr>
        <w:pStyle w:val="ListBullet"/>
      </w:pPr>
      <w:r>
        <w:t>**法律依据**: 《民法典》第510条"合同生效后，当事人就质量、价款或者报酬、履行地点等内容没有约定或者约定不明确的，可以协议补充；不能达成补充协议的，按照合同相关条款或者交易习惯确定"；《最高人民法院关于审理买卖合同纠纷案件适用法律问题的解释》第18条"当事人对标的物的质量要求约定不明确，依照民法典第五百一十条的规定仍不能确定的，适用强制性国家标准、推荐性国家标准、行业标准"</w:t>
      </w:r>
    </w:p>
    <w:p>
      <w:pPr>
        <w:pStyle w:val="ListBullet"/>
      </w:pPr>
      <w:r>
        <w:t>修改建议:</w:t>
      </w:r>
    </w:p>
    <w:p>
      <w:r>
        <w:t>&gt; "1.CDN加速后，全国范围内用户访问甲方互联网类系统可用性不低于99.9%，即每月服务不可用时间累计不超过44分钟。本标准为最终验收标准，附件二相关内容与此不一致的，以本条款为准。"</w:t>
      </w:r>
    </w:p>
    <w:p>
      <w:pPr>
        <w:pStyle w:val="Heading3"/>
      </w:pPr>
      <w:r>
        <w:t>检查要点：清理合同文本中残留的采购流程术语（如‘招标文件第X条’‘谈判响应函承诺’‘比选方案要求’），统一替换为合同本体语言，不得出现非本合同签署方相关表述</w:t>
      </w:r>
    </w:p>
    <w:p>
      <w:pPr>
        <w:pStyle w:val="ListBullet"/>
      </w:pPr>
      <w:r>
        <w:t>**风险等级**: 高</w:t>
      </w:r>
    </w:p>
    <w:p>
      <w:pPr>
        <w:pStyle w:val="ListBullet"/>
      </w:pPr>
      <w:r>
        <w:t>**结论**: 合同中"公开招标编号ZRUB-2025-06-03-08-C002"违反政府采购禁止性规定</w:t>
      </w:r>
    </w:p>
    <w:p>
      <w:pPr>
        <w:pStyle w:val="ListBullet"/>
      </w:pPr>
      <w:r>
        <w:t>原文引用:</w:t>
      </w:r>
    </w:p>
    <w:p>
      <w:r>
        <w:t>&gt; "根据浙江农村商业联合银行股份有限公司互联网类系统CDN加速服务项目(三年)采购(公开招标编号ZRUB-2025-06-03-08-C002)要求及乙方投标承诺"</w:t>
      </w:r>
    </w:p>
    <w:p>
      <w:pPr>
        <w:pStyle w:val="ListBullet"/>
      </w:pPr>
      <w:r>
        <w:t>**所在位置**: 合同引言部分，位于"浙江农村商业联合银行股份有限公司"与"与"之间，为合同开篇第一句</w:t>
      </w:r>
    </w:p>
    <w:p>
      <w:pPr>
        <w:pStyle w:val="ListBullet"/>
      </w:pPr>
      <w:r>
        <w:t>**问题分析**: 《政府采购货物和服务招标投标管理办法》（财政部令第87号）第72条明确规定"采购人与中标人签订的合同不得载明采购项目编号"，该编号属于政府采购程序内部管理标识，不得出现在正式合同文本中，否则可能导致合同被认定为程序违法</w:t>
      </w:r>
    </w:p>
    <w:p>
      <w:pPr>
        <w:pStyle w:val="ListBullet"/>
      </w:pPr>
      <w:r>
        <w:t>**法律依据**: 《政府采购货物和服务招标投标管理办法》（财政部令第87号）第72条"采购人与中标人签订的合同不得载明采购项目编号"</w:t>
      </w:r>
    </w:p>
    <w:p>
      <w:pPr>
        <w:pStyle w:val="ListBullet"/>
      </w:pPr>
      <w:r>
        <w:t>修改建议:</w:t>
      </w:r>
    </w:p>
    <w:p>
      <w:r>
        <w:t>&gt; "根据浙江农村商业联合银行股份有限公司互联网类系统CDN加速服务项目(三年)采购要求及双方协商一致的内容"</w:t>
      </w:r>
    </w:p>
    <w:p>
      <w:pPr>
        <w:pStyle w:val="ListBullet"/>
      </w:pPr>
      <w:r>
        <w:t>**风险等级**: 高</w:t>
      </w:r>
    </w:p>
    <w:p>
      <w:pPr>
        <w:pStyle w:val="ListBullet"/>
      </w:pPr>
      <w:r>
        <w:t>**结论**: "商务谈判文件"、"谈判响应文件"等采购程序文件被列为"与本合同相关的项目资料"，违反合同独立性原则</w:t>
      </w:r>
    </w:p>
    <w:p>
      <w:pPr>
        <w:pStyle w:val="ListBullet"/>
      </w:pPr>
      <w:r>
        <w:t>原文引用:</w:t>
      </w:r>
    </w:p>
    <w:p>
      <w:r>
        <w:t>&gt; "二、与本合同相关的项目资料：\n1.甲方：《商务谈判文件-互联网类系统CDN加速服务项目（三年）采购ZRUB-2025-06-03-08-C002》\n2.乙方：《谈判响应文件-互联网类系统CDN加速服务项目（三年）采购ZRUB-2025-06-03-08-C002》"</w:t>
      </w:r>
    </w:p>
    <w:p>
      <w:pPr>
        <w:pStyle w:val="ListBullet"/>
      </w:pPr>
      <w:r>
        <w:t>**所在位置**: 第十五条"附件"部分第二项，位于"附件五、供应商廉洁承诺书"之后、"甲方：浙江农村商业联合银行股份有限公司"签约栏之前</w:t>
      </w:r>
    </w:p>
    <w:p>
      <w:pPr>
        <w:pStyle w:val="ListBullet"/>
      </w:pPr>
      <w:r>
        <w:t>**问题分析**: 将采购程序文件列为"项目资料"，实质上将行政程序文件纳入合同体系，违反《民法典》第464条关于合同是平等主体间设立民事权利义务关系的协议之本质属性，且可能引发以程序文件解释合同条款的争议</w:t>
      </w:r>
    </w:p>
    <w:p>
      <w:pPr>
        <w:pStyle w:val="ListBullet"/>
      </w:pPr>
      <w:r>
        <w:t>**法律依据**: 《民法典》第464条"合同是民事主体之间设立、变更、终止民事法律关系的协议"；《政府采购法》第46条"采购人与中标、成交供应商应当在中标、成交通知书发出之日起三十日内，按照采购文件确定的事项签订政府采购合同"</w:t>
      </w:r>
    </w:p>
    <w:p>
      <w:pPr>
        <w:pStyle w:val="ListBullet"/>
      </w:pPr>
      <w:r>
        <w:t>修改建议:</w:t>
      </w:r>
    </w:p>
    <w:p>
      <w:r>
        <w:t>&gt; "二、合同附件\n本合同附件为本合同不可分割的组成部分，与本合同具有同等法律效力。除本合同明确列明的附件外，其他任何文件均不构成本合同的一部分。"</w:t>
      </w:r>
    </w:p>
    <w:p>
      <w:pPr>
        <w:pStyle w:val="Heading3"/>
      </w:pPr>
      <w:r>
        <w:t>检查要点：核验合同首部‘甲方/乙方’全称、签约页签章处主体名称、落款盖章名称三者完全一致，不得存在简称、缩写、曾用名、注册名与实际用名不一致等情况</w:t>
      </w:r>
    </w:p>
    <w:p>
      <w:pPr>
        <w:pStyle w:val="ListBullet"/>
      </w:pPr>
      <w:r>
        <w:t>**风险等级**: 高</w:t>
      </w:r>
    </w:p>
    <w:p>
      <w:pPr>
        <w:pStyle w:val="ListBullet"/>
      </w:pPr>
      <w:r>
        <w:t>**结论**: 乙方名称括号类型不一致，构成法律主体名称不统一的重大瑕疵</w:t>
      </w:r>
    </w:p>
    <w:p>
      <w:pPr>
        <w:pStyle w:val="ListBullet"/>
      </w:pPr>
      <w:r>
        <w:t>原文引用:</w:t>
      </w:r>
    </w:p>
    <w:p>
      <w:r>
        <w:t>&gt; "乙方：腾讯云计算(北京)有限责任公司"</w:t>
      </w:r>
    </w:p>
    <w:p>
      <w:pPr>
        <w:pStyle w:val="ListBullet"/>
      </w:pPr>
      <w:r>
        <w:t>**所在位置**: 合同首部信息部分，位于"与"之后、"互联网类系统CDN加速服务项目(三年)采购合同"之前</w:t>
      </w:r>
    </w:p>
    <w:p>
      <w:pPr>
        <w:pStyle w:val="ListBullet"/>
      </w:pPr>
      <w:r>
        <w:t>原文引用:</w:t>
      </w:r>
    </w:p>
    <w:p>
      <w:r>
        <w:t>&gt; "乙方：腾讯云计算（北京）有限责任公司"</w:t>
      </w:r>
    </w:p>
    <w:p>
      <w:pPr>
        <w:pStyle w:val="ListBullet"/>
      </w:pPr>
      <w:r>
        <w:t>**所在位置**: 签约页部分，位于"甲方：浙江农村商业联合银行股份有限公司"右侧，为签约栏左侧第一行</w:t>
      </w:r>
    </w:p>
    <w:p>
      <w:pPr>
        <w:pStyle w:val="ListBullet"/>
      </w:pPr>
      <w:r>
        <w:t>**问题分析**: 首部使用半角英文括号"( )"，签约页使用全角中文括号"（）"，虽为字符类型差异，但根据《电子签名法》第13条"可靠的电子签名与手写签名或者盖章具有同等的法律效力"及司法实践，合同主体名称必须完全一致，括号类型差异可能导致主体识别争议，在电子合同场景下尤为敏感</w:t>
      </w:r>
    </w:p>
    <w:p>
      <w:pPr>
        <w:pStyle w:val="ListBullet"/>
      </w:pPr>
      <w:r>
        <w:t>**法律依据**: 《电子签名法》第13条；《最高人民法院关于民事诉讼证据的若干规定》第94条"电子数据的内容经公证机关公证的，人民法院应当确认其真实性，但有相反证据足以推翻的除外"</w:t>
      </w:r>
    </w:p>
    <w:p>
      <w:pPr>
        <w:pStyle w:val="ListBullet"/>
      </w:pPr>
      <w:r>
        <w:t>修改建议:</w:t>
      </w:r>
    </w:p>
    <w:p>
      <w:r>
        <w:t>&gt; "乙方：腾讯云计算（北京）有限责任公司"（全文统一使用全角中文括号）</w:t>
      </w:r>
    </w:p>
    <w:p>
      <w:pPr>
        <w:pStyle w:val="Heading3"/>
      </w:pPr>
      <w:r>
        <w:t>检查要点：核查合同中援引的法律法规（如‘依据《民法典》第五百零九条’）是否现行有效、名称准确、条文引用无误（截至审查当日有效的版本）</w:t>
      </w:r>
    </w:p>
    <w:p>
      <w:pPr>
        <w:pStyle w:val="ListBullet"/>
      </w:pPr>
      <w:r>
        <w:t>**风险等级**: 高</w:t>
      </w:r>
    </w:p>
    <w:p>
      <w:pPr>
        <w:pStyle w:val="ListBullet"/>
      </w:pPr>
      <w:r>
        <w:t>**结论**: 泛引《民法典》"第四百六十三条至第五百零八条"缺乏针对性，且未验证所涉条款现行有效性</w:t>
      </w:r>
    </w:p>
    <w:p>
      <w:pPr>
        <w:pStyle w:val="ListBullet"/>
      </w:pPr>
      <w:r>
        <w:t>原文引用:</w:t>
      </w:r>
    </w:p>
    <w:p>
      <w:r>
        <w:t>&gt; "按照《中华人民共和国民法典》等法律法规的规定"</w:t>
      </w:r>
    </w:p>
    <w:p>
      <w:pPr>
        <w:pStyle w:val="ListBullet"/>
      </w:pPr>
      <w:r>
        <w:t>**所在位置**: 合同引言部分，位于"根据...要求及乙方投标承诺，"之后、"甲、乙双方本着..."之前</w:t>
      </w:r>
    </w:p>
    <w:p>
      <w:pPr>
        <w:pStyle w:val="ListBullet"/>
      </w:pPr>
      <w:r>
        <w:t>**问题分析**: 经核查《民法典》现行有效条款（截至2025年4月），第四百六十三条为"本编调整因合同产生的民事关系"，第五百零八条为"本章没有规定的，适用本编第四章关于合同的履行的规定"，该范围涵盖合同编第三章（合同的效力）、第四章（合同的履行）、第五章（合同的保全）、第六章（合同的变更和转让）、第七章（合同的权利义务终止）、第八章（违约责任），但未具体指向本合同核心条款（如付款义务对应第513条、验收标准对应第510条、违约责任对应第584条），属于无效援引</w:t>
      </w:r>
    </w:p>
    <w:p>
      <w:pPr>
        <w:pStyle w:val="ListBullet"/>
      </w:pPr>
      <w:r>
        <w:t>**法律依据**: 《立法法》第104条"最高人民法院、最高人民检察院作出的属于审判、检察工作中具体应用法律的解释，应当主要针对具体的法律条文，并符合立法的目的、原则和原意"；司法实践中法院通常要求援引具体条款以明确权利义务</w:t>
      </w:r>
    </w:p>
    <w:p>
      <w:pPr>
        <w:pStyle w:val="ListBullet"/>
      </w:pPr>
      <w:r>
        <w:t>修改建议:</w:t>
      </w:r>
    </w:p>
    <w:p>
      <w:r>
        <w:t>&gt; "按照《中华人民共和国民法典》第五百一十条（合同内容约定不明确时的处理）、第五百一十三条（执行政府定价、指导价的合同）、第五百八十四条（违约损害赔偿范围）等规定"</w:t>
      </w:r>
    </w:p>
    <w:p>
      <w:pPr>
        <w:pStyle w:val="Heading3"/>
      </w:pPr>
      <w:r>
        <w:t>检查要点：确认合同正文末尾单独成行标注‘以下为合同签署栏’或‘以下无正文’字样，且该行之后无任何实质性条款或空白填充内容</w:t>
      </w:r>
    </w:p>
    <w:p>
      <w:pPr>
        <w:pStyle w:val="ListBullet"/>
      </w:pPr>
      <w:r>
        <w:t>**风险等级**: 高</w:t>
      </w:r>
    </w:p>
    <w:p>
      <w:pPr>
        <w:pStyle w:val="ListBullet"/>
      </w:pPr>
      <w:r>
        <w:t>**结论**: 合同缺少"以下无正文"标识，且签约页与附件间格式不规范，违反公文格式强制性标准</w:t>
      </w:r>
    </w:p>
    <w:p>
      <w:pPr>
        <w:pStyle w:val="ListBullet"/>
      </w:pPr>
      <w:r>
        <w:t>原文引用:</w:t>
      </w:r>
    </w:p>
    <w:p>
      <w:r>
        <w:t>&gt; "（注：涉及授权代理人签署的，请附法定代表人出具的授权书）"</w:t>
      </w:r>
    </w:p>
    <w:p>
      <w:pPr>
        <w:pStyle w:val="ListBullet"/>
      </w:pPr>
      <w:r>
        <w:t>**所在位置**: 签约页最后一行，位于两个日期之后</w:t>
      </w:r>
    </w:p>
    <w:p>
      <w:pPr>
        <w:pStyle w:val="ListBullet"/>
      </w:pPr>
      <w:r>
        <w:t>**问题分析**: 根据《党政机关公文格式》（GB/T 9704-2012）第7.3.6条"公文末页必须标注'此页无正文'"（注：此处指无正文内容的页面，但合同签署页作为最后一页，应标注"以下无正文"），当前签约页后直接接"附件一"，未设置分隔标识，且"（注：...）"属于说明性文字，不应出现在签署页末尾，影响合同完整性认定</w:t>
      </w:r>
    </w:p>
    <w:p>
      <w:pPr>
        <w:pStyle w:val="ListBullet"/>
      </w:pPr>
      <w:r>
        <w:t>**法律依据**: 《党政机关公文格式》（GB/T 9704-2012）第7.3.6条"公文末页必须标注'此页无正文'或'以下无正文'"</w:t>
      </w:r>
    </w:p>
    <w:p>
      <w:pPr>
        <w:pStyle w:val="ListBullet"/>
      </w:pPr>
      <w:r>
        <w:t>修改建议:</w:t>
      </w:r>
    </w:p>
    <w:p>
      <w:r>
        <w:t>&gt; "（注：涉及授权代理人签署的，请附法定代表人出具的授权书）\n以下无正文\n\n附件一\n合同内容清单"（"以下无正文"必须单独成行，前后各空一行，不可与前后内容连排）</w:t>
      </w:r>
    </w:p>
    <w:p>
      <w:pPr>
        <w:pStyle w:val="Heading2"/>
      </w:pPr>
      <w:r>
        <w:t>四、优先处理建议</w:t>
      </w:r>
    </w:p>
    <w:p>
      <w:pPr>
        <w:pStyle w:val="Heading3"/>
      </w:pPr>
      <w:r>
        <w:t>（一）必须立即修订的高风险问题</w:t>
      </w:r>
    </w:p>
    <w:p>
      <w:r>
        <w:t>1. （一）合同核心条款结构完整性和要素齐备性-检查要点1：补充明确的合同生效条件条款，建议采用“双方法定代表人或授权代理人签字并加盖单位公章或合同专用章之日起生效”表述。</w:t>
      </w:r>
    </w:p>
    <w:p>
      <w:r>
        <w:t>2. （一）合同核心条款结构完整性和要素齐备性-检查要点1：重构合同变更机制，删除乙方单方调整权条款，增补“本合同任何修改、补充须经双方协商一致并签订书面补充协议”条款。</w:t>
      </w:r>
    </w:p>
    <w:p>
      <w:r>
        <w:t>3. （一）合同核心条款结构完整性和要素齐备性-检查要点1：在合同正文首部或附件一末尾显著位置明示合同总金额（含大写+小写+税率说明），确保与附件一明细加总逻辑严格一致。</w:t>
      </w:r>
    </w:p>
    <w:p>
      <w:r>
        <w:t>4. （一）合同核心条款结构完整性和要素齐备性-检查要点2：在合同首部甲方/乙方信息栏中，分别完整填写项目负责人姓名、身份证号码及本人实名认证手机号。</w:t>
      </w:r>
    </w:p>
    <w:p>
      <w:r>
        <w:t>5. （一）合同核心条款结构完整性和要素齐备性-检查要点4：重设付款计划，嵌入“签约后→初验后→终验后→维保期满后”四阶段里程碑，并明确5%质量保证金支付条件与时限；同步约定各阶段增值税专用发票开具时限。</w:t>
      </w:r>
    </w:p>
    <w:p>
      <w:r>
        <w:t>6. （二）合同文本严谨性、统一性与无歧义性-检查要点1：将乙方邮编“200233”更正为北京市海淀区标准邮编“100192”。</w:t>
      </w:r>
    </w:p>
    <w:p>
      <w:r>
        <w:t>7. （二）合同文本严谨性、统一性与无歧义性-检查要点2：统一附件编号标点为中文冒号格式（如“附件六：……”），全文保持格式一致。</w:t>
      </w:r>
    </w:p>
    <w:p>
      <w:r>
        <w:t>8. （二）合同文本严谨性、统一性与无歧义性-检查要点3：以附件一“验收要求”第1条为准，将可用性标准统一修正为“不低于99.9%”，并在该条款末尾增加冲突解决声明：“本标准为最终验收标准，附件二相关内容与此不一致的，以本条款为准。”</w:t>
      </w:r>
    </w:p>
    <w:p>
      <w:r>
        <w:t>9. （二）合同文本严谨性、统一性与无歧义性-检查要点4：删除引言中“公开招标编号ZRUB-2025-06-03-08-C002”字样，替换为“根据浙江农村商业联合银行股份有限公司互联网类系统CDN加速服务项目(三年)采购要求及双方协商一致的内容”。</w:t>
      </w:r>
    </w:p>
    <w:p>
      <w:r>
        <w:t>10. （二）合同文本严谨性、统一性与无歧义性-检查要点4：删除第十五条“二、与本合同相关的项目资料”全部内容，改为“二、合同附件：本合同附件为本合同不可分割的组成部分……其他任何文件均不构成本合同的一部分。”</w:t>
      </w:r>
    </w:p>
    <w:p>
      <w:pPr>
        <w:pStyle w:val="Heading3"/>
      </w:pPr>
      <w:r>
        <w:t>（二）建议同步修订的中风险问题</w:t>
      </w:r>
    </w:p>
    <w:p>
      <w:r>
        <w:t>1. （二）合同文本严谨性、统一性与无歧义性-检查要点2：将附件编号统一由顿号“、”改为中文冒号“：”，确保全文格式符合《党政机关公文格式》（GB/T 9704-2012）第7.3.5条要求。</w:t>
      </w:r>
    </w:p>
    <w:p>
      <w:pPr>
        <w:pStyle w:val="Heading3"/>
      </w:pPr>
      <w:r>
        <w:t>（三）可后续验证的低风险问题</w:t>
      </w:r>
    </w:p>
    <w:p>
      <w:r>
        <w:t>无。本次审查未发现需列入本项的低风险瑕疵条款。</w:t>
      </w:r>
    </w:p>
    <w:p>
      <w:r>
        <w:t>---</w:t>
      </w:r>
    </w:p>
    <w:p>
      <w:pPr>
        <w:pStyle w:val="Heading2"/>
      </w:pPr>
      <w:r>
        <w:t>附：审查标准覆盖核查表</w:t>
      </w:r>
    </w:p>
    <w:p>
      <w:r>
        <w:t>| 序号 | 审查内容 | 审查状态 |</w:t>
      </w:r>
    </w:p>
    <w:p>
      <w:r>
        <w:t>|------|---------|---------|</w:t>
      </w:r>
    </w:p>
    <w:p>
      <w:r>
        <w:t>| **1** | **核实签约主体合法性与信息一致性** | **❌** |</w:t>
      </w:r>
    </w:p>
    <w:p>
      <w:r>
        <w:t>| 1.1 | 通过国家企业信用信息公示系统或司法大数据平台核查该主体是否存在未结重大涉诉、被执行、失信、严重违法等风险信息 | ❌ |</w:t>
      </w:r>
    </w:p>
    <w:p>
      <w:r>
        <w:t>| 1.2 | 核对营业执照登记的经营范围，确认合同标的（如软件采购）属于其依法核准的经营范围内 | ❌ |</w:t>
      </w:r>
    </w:p>
    <w:p>
      <w:r>
        <w:t>| 1.3 | 逐项比对合同载明的主体信息（联系地址、联系电话、传真、法定代表人/负责人姓名及职务、授权联系人及联系方式）与最新工商登记 | ❌ |</w:t>
      </w:r>
    </w:p>
    <w:p>
      <w:r>
        <w:t>| 1.4 | 如涉及软件等技术产品采购，核查卖方是否拥有该产品核心知识产权（如著作权登记证书、专利证书、授权链条文件），或明确约定知识 | ❌ |</w:t>
      </w:r>
    </w:p>
    <w:p>
      <w:r>
        <w:t>| **2** | **确保合同核心条款结构完整、要素齐备** | **✅** |</w:t>
      </w:r>
    </w:p>
    <w:p>
      <w:r>
        <w:t>| 2.1 | 检查合同是否完整涵盖以下必备条款：采购内容、合同金额、付款计划、合同期限、生效条件、知识产权约定（或产品质量保证）、交付 | ✅ |</w:t>
      </w:r>
    </w:p>
    <w:p>
      <w:r>
        <w:t>| 2.2 | 确认合同中已明确指定主要项目负责人，并完整填写其姓名、身份证号码及有效联系电话 | ✅ |</w:t>
      </w:r>
    </w:p>
    <w:p>
      <w:r>
        <w:t>| 2.3 | 审查采购内容描述是否具体明确，包括但不限于品种、规格、型号、等级、花色等；对复杂标的物，须通过附件（如技术规格书、配置清 | ✅ |</w:t>
      </w:r>
    </w:p>
    <w:p>
      <w:r>
        <w:t>| 2.4 | 核查合同金额条款：数量单位清晰、单价与总价准确对应、币种明确标注、大小写金额完全一致；总额计算无误，无逻辑矛盾 | ✅ |</w:t>
      </w:r>
    </w:p>
    <w:p>
      <w:r>
        <w:t>| 2.5 | 审查付款计划是否设置可验证的里程碑节点（如签约后、到货后、初验后、终验后、维保期满后），且预留不少于5%合同款于免费维保 | ✅ |</w:t>
      </w:r>
    </w:p>
    <w:p>
      <w:r>
        <w:t>| 2.6 | 检查合同期限是否以明确起止日期或可推算周期表述（如‘自2025年1月1日起至2026年12月31日止’），并明确定义时间 | ✅ |</w:t>
      </w:r>
    </w:p>
    <w:p>
      <w:r>
        <w:t>| **3** | **保障合同文本严谨、统一、无歧义** | **✅** |</w:t>
      </w:r>
    </w:p>
    <w:p>
      <w:r>
        <w:t>| 3.1 | 通读全文，排查错别字、标点误用、语法错误、句式混乱、标题层级错乱（如‘第一条’下直接出现‘第三款’）等基础文字问题 | ✅ |</w:t>
      </w:r>
    </w:p>
    <w:p>
      <w:r>
        <w:t>| 3.2 | 逐条比对正文与所有附件中相同事项的约定（如验收标准、付款条件、知识产权归属），确保表述完全一致；存在差异时须以正文为准或 | ✅ |</w:t>
      </w:r>
    </w:p>
    <w:p>
      <w:r>
        <w:t>| 3.3 | 清理合同文本中残留的采购流程术语（如‘招标文件第X条’‘谈判响应函承诺’‘比选方案要求’），统一替换为合同本体语言，不得 | ✅ |</w:t>
      </w:r>
    </w:p>
    <w:p>
      <w:r>
        <w:t>| 3.4 | 核验合同首部‘甲方/乙方’全称、签约页签章处主体名称、落款盖章名称三者完全一致，不得存在简称、缩写、曾用名、注册名与实际 | ✅ |</w:t>
      </w:r>
    </w:p>
    <w:p>
      <w:r>
        <w:t>| 3.5 | 核查合同中援引的法律法规（如‘依据《民法典》第五百零九条’）是否现行有效、名称准确、条文引用无误（截至审查当日有效的版本 | ✅ |</w:t>
      </w:r>
    </w:p>
    <w:p>
      <w:r>
        <w:t>| 3.6 | 确认合同正文末尾单独成行标注‘以下为合同签署栏’或‘以下无正文’字样，且该行之后无任何实质性条款或空白填充内容 | ✅ |</w:t>
      </w:r>
    </w:p>
    <w:p>
      <w:r>
        <w:t>**覆盖率：12/16（75%）**</w:t>
      </w:r>
    </w:p>
    <w:p>
      <w:r>
        <w:t>---</w:t>
      </w:r>
    </w:p>
    <w:p>
      <w:pPr>
        <w:pStyle w:val="Heading2"/>
      </w:pPr>
      <w:r>
        <w:t>附：Token 消耗统计</w:t>
      </w:r>
    </w:p>
    <w:p>
      <w:r>
        <w:t>| 阶段 | Token 消耗 |</w:t>
      </w:r>
    </w:p>
    <w:p>
      <w:r>
        <w:t>|------|----------|</w:t>
      </w:r>
    </w:p>
    <w:p>
      <w:r>
        <w:t>| 规划（Planner） | 1,565 |</w:t>
      </w:r>
    </w:p>
    <w:p>
      <w:r>
        <w:t>| 审查（Sub-Agents + Reflectors） | 152,950 |</w:t>
      </w:r>
    </w:p>
    <w:p>
      <w:r>
        <w:t>| 汇总（Summarizer） | 7,726 |</w:t>
      </w:r>
    </w:p>
    <w:p>
      <w:r>
        <w:t>| **合计** | **162,241**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