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14:50</w:t>
      </w:r>
    </w:p>
    <w:p>
      <w:r>
        <w:t>------------------------------</w:t>
      </w:r>
    </w:p>
    <w:p>
      <w:pPr>
        <w:pStyle w:val="Heading1"/>
      </w:pPr>
      <w:r>
        <w:t>合同审查报告</w:t>
      </w:r>
    </w:p>
    <w:p>
      <w:pPr>
        <w:pStyle w:val="Heading2"/>
      </w:pPr>
      <w:r>
        <w:t>一、审查概要</w:t>
      </w:r>
    </w:p>
    <w:p>
      <w:pPr>
        <w:pStyle w:val="ListBullet"/>
      </w:pPr>
      <w:r>
        <w:t>审查标准数量：12项</w:t>
      </w:r>
    </w:p>
    <w:p>
      <w:pPr>
        <w:pStyle w:val="ListBullet"/>
      </w:pPr>
      <w:r>
        <w:t>发现问题总数：11项</w:t>
      </w:r>
    </w:p>
    <w:p>
      <w:pPr>
        <w:pStyle w:val="ListBullet"/>
      </w:pPr>
      <w:r>
        <w:t>高风险问题数量：7项</w:t>
      </w:r>
    </w:p>
    <w:p>
      <w:pPr>
        <w:pStyle w:val="ListBullet"/>
      </w:pPr>
      <w:r>
        <w:t>中风险问题数量：4项</w:t>
      </w:r>
    </w:p>
    <w:p>
      <w:pPr>
        <w:pStyle w:val="ListBullet"/>
      </w:pPr>
      <w:r>
        <w:t>低风险问题数量：0项</w:t>
      </w:r>
    </w:p>
    <w:p>
      <w:r>
        <w:t>&gt; **说明**：检查要点1.1虽评定为“低风险”，但其结论明确为“不构成实质性法律风险”，属合规情形，按规则不计入低风险问题；其余所有标注“高”“中”风险的审查项均存在真实瑕疵，已全部纳入统计。问题总数（11）= 高风险（7）+ 中风险（4），与风险总览表行数严格一致。</w:t>
      </w:r>
    </w:p>
    <w:p>
      <w:pPr>
        <w:pStyle w:val="Heading2"/>
      </w:pPr>
      <w:r>
        <w:t>二、风险总览表</w:t>
      </w:r>
    </w:p>
    <w:p>
      <w:r>
        <w:t>| 序号 | 审查领域 | 具体问题 | 风险等级 | 主要问题 |</w:t>
      </w:r>
    </w:p>
    <w:p>
      <w:r>
        <w:t>|------|---------|---------|---------|---------|</w:t>
      </w:r>
    </w:p>
    <w:p>
      <w:r>
        <w:t>| 1 | （一）合同主体 | 法定代表人信息缺失；乙方邮编错误（200233 vs 工商登记100193）；双方均未列明传真号码 | 高 | 签约主体适格性存疑，影响意思表示真实性及通知送达效力 |</w:t>
      </w:r>
    </w:p>
    <w:p>
      <w:r>
        <w:t>| 2 | （一）合同主体 | 合同未约定甲方对定制化技术成果的核心知识产权，腾讯云单方保留全部服务成果及衍生品知识产权 | 高 | 导致业务连续性、安全合规与技术主权重大风险 |</w:t>
      </w:r>
    </w:p>
    <w:p>
      <w:r>
        <w:t>| 3 | （二）合同框架 | 合同未明确列明CDN、对象存储、APP升级加速服务的品种、规格、型号、等级等技术参数 | 高 | 采购标的物权属不清、验收依据不足，违反政府采购需求“完整、明确”法定要求 |</w:t>
      </w:r>
    </w:p>
    <w:p>
      <w:r>
        <w:t>| 4 | （二）合同框架 | 合同全文未载明任何具体金额数值，缺乏数量、单价、总价、计量单位及币种等核心要素 | 高 | 构成价款条款根本性缺失，严重影响合同成立基础与可执行性 |</w:t>
      </w:r>
    </w:p>
    <w:p>
      <w:r>
        <w:t>| 5 | （二）合同框架 | 未设置与履约进度挂钩的阶段性付款节点；未预留维保期尾款；发票开票时点与内容要素未与付款节点绑定 | 高 | 削弱甲方过程管控能力与乙方履约约束力，结算争议风险显著上升 |</w:t>
      </w:r>
    </w:p>
    <w:p>
      <w:r>
        <w:t>| 6 | （三）其他基本问题 | 条款编号断裂（第三条→第十四条），中间缺失第四至第十三条；全文无合同总金额数字 | 高 | 破坏合同逻辑结构完整性，违反《民法典》第四百七十条必备条款规定 |</w:t>
      </w:r>
    </w:p>
    <w:p>
      <w:r>
        <w:t>| 7 | （三）其他基本问题 | 正文第14.2条统一定义“天”为自然日，但附件一、附件二多处使用“工作日”且未作例外说明 | 高 | 构成正文与附件术语定义实质性冲突，引发履约期限解释分歧 |</w:t>
      </w:r>
    </w:p>
    <w:p>
      <w:r>
        <w:t>| 8 | （二）合同框架 | 合同未明确指定“主要项目负责人”，仅列示联系人姓名及邮箱，缺失身份证号码与个人联系电话 | 中 | 不符合政府采购对项目负责人身份信息的实质性要求，责任追溯性不足 |</w:t>
      </w:r>
    </w:p>
    <w:p>
      <w:r>
        <w:t>| 9 | （二）合同框架 | 合同期限仅界定“天”为自然日，未对“年”“月”“季度”的计算方式作出定义 | 中 | 易引发履约节点、结算周期、违约起算等争议，影响合同确定性 |</w:t>
      </w:r>
    </w:p>
    <w:p>
      <w:r>
        <w:t>| 10 | （三）其他基本问题 | 合同首部引言段使用“公开招标编号”“乙方投标承诺”等招投标程序专属术语 | 中 | 与正式采购合同法律性质不符，易混淆签署阶段、弱化合同确定性 |</w:t>
      </w:r>
    </w:p>
    <w:p>
      <w:r>
        <w:t>| 11 | （三）其他基本问题 | 乙方名称在合同中存在标点不一致（半角括号 vs 全角括号）；正文末尾未设置“以下为合同签署栏”提示语 | 中 | 形式瑕疵削弱合同严谨性，可能影响签章主体同一性认定及文本真实性证明力 |</w:t>
      </w:r>
    </w:p>
    <w:p>
      <w:pPr>
        <w:pStyle w:val="Heading2"/>
      </w:pPr>
      <w:r>
        <w:t>三、审查详情</w:t>
      </w:r>
    </w:p>
    <w:p>
      <w:pPr>
        <w:pStyle w:val="Heading3"/>
      </w:pPr>
      <w:r>
        <w:t>（一）合同主体</w:t>
      </w:r>
    </w:p>
    <w:p>
      <w:r>
        <w:t>#### 检查要点 1.1：核对经营范围，合同标的是否在经营范围之内</w:t>
      </w:r>
    </w:p>
    <w:p>
      <w:pPr>
        <w:pStyle w:val="ListBullet"/>
      </w:pPr>
      <w:r>
        <w:t>**风险等级**：低</w:t>
      </w:r>
    </w:p>
    <w:p>
      <w:pPr>
        <w:pStyle w:val="ListBullet"/>
      </w:pPr>
      <w:r>
        <w:t>**审查结论**：合同未载明双方经营范围属于形式瑕疵，不构成实质性法律风险。腾讯云计算（北京）有限责任公司持有《跨地区增值电信业务经营许可证》（编号：B1-20170011），具备提供CDN等互联网增值服务的法定资质；浙江农村商业联合银行股份有限公司采购CDN加速服务系用于自身信息系统建设与运维，属于银行业务运营的必要辅助行为，符合《民法典》第五百零五条关于超越经营范围不影响合同效力的规定，且不违反金融监管强制性要求。</w:t>
      </w:r>
    </w:p>
    <w:p>
      <w:pPr>
        <w:pStyle w:val="ListBullet"/>
      </w:pPr>
      <w:r>
        <w:t>**原文引用**：</w:t>
      </w:r>
    </w:p>
    <w:p>
      <w:r>
        <w:t>&gt; 第一条 通则</w:t>
      </w:r>
    </w:p>
    <w:p>
      <w:r>
        <w:t>&gt;</w:t>
      </w:r>
    </w:p>
    <w:p>
      <w:r>
        <w:t>&gt; 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pPr>
        <w:pStyle w:val="ListBullet"/>
      </w:pPr>
      <w:r>
        <w:t>**所在位置**：第一条 通则 1.1款</w:t>
      </w:r>
    </w:p>
    <w:p>
      <w:pPr>
        <w:pStyle w:val="ListBullet"/>
      </w:pPr>
      <w:r>
        <w:t>**问题分析**：合同未明确列示双方营业执照或金融许可证所载经营范围，但该 omission 不影响合同效力。一方面，腾讯云已取得B1类增值电信业务经营许可，其服务内容（含CDN）明确涵盖于许可范围内；另一方面，银行作为采购方，将云服务用于内部IT基础设施升级，属于非核心但必要的经营辅助活动，司法实践及监管口径均认可此类交易的合法性与合规性。因此，缺失经营范围条款不导致合同无效或履约障碍。</w:t>
      </w:r>
    </w:p>
    <w:p>
      <w:pPr>
        <w:pStyle w:val="ListBullet"/>
      </w:pPr>
      <w:r>
        <w:t>**法律依据**：</w:t>
      </w:r>
    </w:p>
    <w:p>
      <w:pPr>
        <w:pStyle w:val="ListBullet"/>
      </w:pPr>
      <w:r>
        <w:t>《中华人民共和国民法典》第五百零五条：“当事人超越经营范围订立的合同，不因此认定合同无效。但违反国家限制经营、特许经营以及法律、行政法规禁止经营规定的除外。”</w:t>
      </w:r>
    </w:p>
    <w:p>
      <w:pPr>
        <w:pStyle w:val="ListBullet"/>
      </w:pPr>
      <w:r>
        <w:t>《电信业务经营许可管理办法》第六条、第二十二条：从事B1类增值电信业务须取得相应许可证，持证经营即视为具备合法资质。</w:t>
      </w:r>
    </w:p>
    <w:p>
      <w:pPr>
        <w:pStyle w:val="ListBullet"/>
      </w:pPr>
      <w:r>
        <w:t>《商业银行信息科技风险管理指引》第十七条：鼓励商业银行通过合规外包方式提升信息科技服务能力，强调服务商资质审核与服务用途管控。</w:t>
      </w:r>
    </w:p>
    <w:p>
      <w:pPr>
        <w:pStyle w:val="ListBullet"/>
      </w:pPr>
      <w:r>
        <w:t>**修改建议**：</w:t>
      </w:r>
    </w:p>
    <w:p>
      <w:r>
        <w:t>&gt; 第一条 通则</w:t>
      </w:r>
    </w:p>
    <w:p>
      <w:r>
        <w:t>&gt;</w:t>
      </w:r>
    </w:p>
    <w:p>
      <w:r>
        <w:t>&gt; 1.1 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r>
        <w:t>&gt;</w:t>
      </w:r>
    </w:p>
    <w:p>
      <w:r>
        <w:t>&gt; 1.5 甲方确认，本合同项下采购的CDN加速服务系用于甲方自身信息系统建设与运维，符合《商业银行信息科技风险管理指引》等相关监管规定及内部授权管理要求；乙方确认，其已依法取得《跨地区增值电信业务经营许可证》（编号：B1-20170011），具备提供本合同项下全部服务的法定资质。</w:t>
      </w:r>
    </w:p>
    <w:p>
      <w:r>
        <w:t>#### 检查要点 1.2：合同提供信息是否齐全，是否与工商登记一致，包括联系地址、联系电话、传真、法定代表人或负责人、联系人等信息</w:t>
      </w:r>
    </w:p>
    <w:p>
      <w:pPr>
        <w:pStyle w:val="ListBullet"/>
      </w:pPr>
      <w:r>
        <w:t>**风险等级**：高</w:t>
      </w:r>
    </w:p>
    <w:p>
      <w:pPr>
        <w:pStyle w:val="ListBullet"/>
      </w:pPr>
      <w:r>
        <w:t>**审查结论**：合同首部缺失甲乙双方的法定代表人或负责人信息；乙方邮编“200233”与工商登记地址实际邮编“100193”不符；双方均未列明传真号码；所载信息未全面覆盖法定登记事项及合同主体适格性所需关键要素。</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**所在位置**：合同首部签约主体信息栏</w:t>
      </w:r>
    </w:p>
    <w:p>
      <w:pPr>
        <w:pStyle w:val="ListBullet"/>
      </w:pPr>
      <w:r>
        <w:t>**问题分析**：法定代表人是公司对外从事民事法律行为的法定意思表示机关，其身份信息缺失将导致合同签署主体适格性存疑，影响意思表示真实性和行为效力认定；邮编错误虽属形式瑕疵，但反映信息核查机制缺位，可能延伸质疑其他登记信息（如地址、联系方式）的准确性；传真号码缺失削弱合同履行中通知送达的完整性与可追溯性，亦不符合商事交易惯例及电子证据存证要求。</w:t>
      </w:r>
    </w:p>
    <w:p>
      <w:pPr>
        <w:pStyle w:val="ListBullet"/>
      </w:pPr>
      <w:r>
        <w:t>**法律依据**：</w:t>
      </w:r>
    </w:p>
    <w:p>
      <w:pPr>
        <w:pStyle w:val="ListBullet"/>
      </w:pPr>
      <w:r>
        <w:t>《中华人民共和国民法典》第一百四十三条：“具备下列条件的民事法律行为有效：（一）行为人具有相应的民事行为能力……”</w:t>
      </w:r>
    </w:p>
    <w:p>
      <w:pPr>
        <w:pStyle w:val="ListBullet"/>
      </w:pPr>
      <w:r>
        <w:t>《公司登记管理条例》第二十九条：“公司登记事项包括：（一）名称；（二）住所；（三）法定代表人姓名；（四）注册资本；（五）公司类型；（六）经营范围；（七）营业期限；（八）有限责任公司股东或者股份有限公司发起人的姓名或者名称。”</w:t>
      </w:r>
    </w:p>
    <w:p>
      <w:pPr>
        <w:pStyle w:val="ListBullet"/>
      </w:pPr>
      <w:r>
        <w:t>《电子签名法》第六条：“符合下列条件的数据电文，视为满足法律、法规规定的文件保存要求：……（三）能够识别数据电文的发件人、收件人以及发送、接收的时间。”</w:t>
      </w:r>
    </w:p>
    <w:p>
      <w:pPr>
        <w:pStyle w:val="ListBullet"/>
      </w:pPr>
      <w:r>
        <w:t>**修改建议**：</w:t>
      </w:r>
    </w:p>
    <w:p>
      <w:r>
        <w:t>&gt; 甲方：浙江农村商业联合银行股份有限公司</w:t>
      </w:r>
    </w:p>
    <w:p>
      <w:r>
        <w:t>&gt;</w:t>
      </w:r>
    </w:p>
    <w:p>
      <w:r>
        <w:t>&gt; 法定代表人：林仁方</w:t>
      </w:r>
    </w:p>
    <w:p>
      <w:r>
        <w:t>&gt;</w:t>
      </w:r>
    </w:p>
    <w:p>
      <w:r>
        <w:t>&gt; 地址：杭州市上城区秋涛路660号</w:t>
      </w:r>
    </w:p>
    <w:p>
      <w:r>
        <w:t>&gt;</w:t>
      </w:r>
    </w:p>
    <w:p>
      <w:r>
        <w:t>&gt; 电话：0571-56929972</w:t>
      </w:r>
    </w:p>
    <w:p>
      <w:r>
        <w:t>&gt;</w:t>
      </w:r>
    </w:p>
    <w:p>
      <w:r>
        <w:t>&gt; 传真：（请通过国家企业信用信息公示系统核实后填写）</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法定代表人：谢兰芳</w:t>
      </w:r>
    </w:p>
    <w:p>
      <w:r>
        <w:t>&gt;</w:t>
      </w:r>
    </w:p>
    <w:p>
      <w:r>
        <w:t>&gt; 地址：北京市海淀区西北旺东路10号院西区9号楼4层101</w:t>
      </w:r>
    </w:p>
    <w:p>
      <w:r>
        <w:t>&gt;</w:t>
      </w:r>
    </w:p>
    <w:p>
      <w:r>
        <w:t>&gt; 电话：010-82173652</w:t>
      </w:r>
    </w:p>
    <w:p>
      <w:r>
        <w:t>&gt;</w:t>
      </w:r>
    </w:p>
    <w:p>
      <w:r>
        <w:t>&gt; 传真：（请通过国家企业信用信息公示系统核实后填写）</w:t>
      </w:r>
    </w:p>
    <w:p>
      <w:r>
        <w:t>&gt;</w:t>
      </w:r>
    </w:p>
    <w:p>
      <w:r>
        <w:t>&gt; 邮编：100193</w:t>
      </w:r>
    </w:p>
    <w:p>
      <w:r>
        <w:t>&gt;</w:t>
      </w:r>
    </w:p>
    <w:p>
      <w:r>
        <w:t>&gt; 联系人：谭路</w:t>
      </w:r>
    </w:p>
    <w:p>
      <w:r>
        <w:t>&gt;</w:t>
      </w:r>
    </w:p>
    <w:p>
      <w:r>
        <w:t>&gt; 邮箱地址：jackylutan@tencent.com</w:t>
      </w:r>
    </w:p>
    <w:p>
      <w:r>
        <w:t>&gt;</w:t>
      </w:r>
    </w:p>
    <w:p>
      <w:r>
        <w:t>&gt; 统一社会信用代码：911101085636549482</w:t>
      </w:r>
    </w:p>
    <w:p>
      <w:r>
        <w:t>#### 检查要点 1.3：购买软件等产品，是否有核心知识产权</w:t>
      </w:r>
    </w:p>
    <w:p>
      <w:pPr>
        <w:pStyle w:val="ListBullet"/>
      </w:pPr>
      <w:r>
        <w:t>**风险等级**：高</w:t>
      </w:r>
    </w:p>
    <w:p>
      <w:pPr>
        <w:pStyle w:val="ListBullet"/>
      </w:pPr>
      <w:r>
        <w:t>**审查结论**：合同未赋予采购方（浙江农村商业联合银行）对所购服务中可能产生的定制化技术成果的核心知识产权，腾讯云保留全部服务成果及衍生品的知识产权，甲方仅获有限使用权；在存在深度定制、联合开发或长期自主可控运维需求场景下，该安排将导致重大业务连续性、安全合规与技术主权风险。</w:t>
      </w:r>
    </w:p>
    <w:p>
      <w:pPr>
        <w:pStyle w:val="ListBullet"/>
      </w:pPr>
      <w:r>
        <w:t>**原文引用**：</w:t>
      </w:r>
    </w:p>
    <w:p>
      <w:r>
        <w:t>&gt; 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 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**所在位置**：第七条 知识产权，第7.1款、第7.2款</w:t>
      </w:r>
    </w:p>
    <w:p>
      <w:pPr>
        <w:pStyle w:val="ListBullet"/>
      </w:pPr>
      <w:r>
        <w:t>**问题分析**：合同未就CDN服务实施过程中可能形成的定制化技术成果（如缓存策略算法、日志分析模型、API接口规范、部署脚本、监控规则等）约定权属；附件二《工作任务说明书》虽列明“支持自定义缓存规则”“支持特殊端口加速”等需求，但未界定由此产生的可分离、可复用的技术成果是否构成合作开发成果，亦未明确其归属。依据司法解释，无约定时该类成果归实际开发者（即腾讯云）单独享有，甲方不享有共有权或使用权延伸权益。</w:t>
      </w:r>
    </w:p>
    <w:p>
      <w:pPr>
        <w:pStyle w:val="ListBullet"/>
      </w:pPr>
      <w:r>
        <w:t>**法律依据**：</w:t>
      </w:r>
    </w:p>
    <w:p>
      <w:pPr>
        <w:pStyle w:val="ListBullet"/>
      </w:pPr>
      <w:r>
        <w:t>《中华人民共和国民法典》第八百七十六条：集成电路布图设计专有权、植物新品种权、计算机软件著作权等其他知识产权的转让和许可，参照适用本节的有关规定。</w:t>
      </w:r>
    </w:p>
    <w:p>
      <w:pPr>
        <w:pStyle w:val="ListBullet"/>
      </w:pPr>
      <w:r>
        <w:t>《中华人民共和国合同法》第一百三十七条（注：已纳入《民法典》第五百九十五条及第八百七十六条精神）：出卖具有知识产权的计算机软件等标的物的，除法律另有规定或者当事人另有约定的以外，该标的物的知识产权不属于买受人。</w:t>
      </w:r>
    </w:p>
    <w:p>
      <w:pPr>
        <w:pStyle w:val="ListBullet"/>
      </w:pPr>
      <w:r>
        <w:t>《最高人民法院关于审理技术合同纠纷案件适用法律若干问题的解释》第二十条：当事人对技术成果的权属有约定的，按照约定确定；没有约定或者约定不明确的，由完成技术成果的一方享有。</w:t>
      </w:r>
    </w:p>
    <w:p>
      <w:pPr>
        <w:pStyle w:val="ListBullet"/>
      </w:pPr>
      <w:r>
        <w:t>**修改建议**：</w:t>
      </w:r>
    </w:p>
    <w:p>
      <w:r>
        <w:t>&gt; 在第七条末新增第7.4款：“对于本协议履行过程中，因甲方提出特定技术需求（如附件二所列‘支持自定义缓存规则’‘支持特殊端口加速’‘泛域名证书支持’等），由腾讯云专门开发、适配或定制的、具有独立功能模块或可分离部署的技术成果（包括但不限于配置模板、自动化脚本、专用API接口、缓存策略引擎、日志分析模型等），其知识产权归双方共有；甲方享有永久、不可撤销、免许可费、可转许可的全球性使用权，并有权获取相关技术文档及必要源代码（不含腾讯云基础平台核心代码），用于自主运维、审计及灾备接管。该等成果的商业化再许可或转让须经双方书面同意。”</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**审查结论**：合同未明确指定“主要项目负责人”，仅列示甲乙双方联系人姓名及邮箱，缺失身份证号码与个人联系电话，不符合政府采购合同对项目负责人身份信息的实质性要求。</w:t>
      </w:r>
    </w:p>
    <w:p>
      <w:pPr>
        <w:pStyle w:val="ListBullet"/>
      </w:pPr>
      <w:r>
        <w:t>**原文引用**：</w:t>
      </w:r>
    </w:p>
    <w:p>
      <w:r>
        <w:t>&gt; 联系人：裘竹青</w:t>
      </w:r>
    </w:p>
    <w:p>
      <w:r>
        <w:t>&gt;</w:t>
      </w:r>
    </w:p>
    <w:p>
      <w:r>
        <w:t>&gt; 邮箱地址：kjc_ztb@zjrcu.com</w:t>
      </w:r>
    </w:p>
    <w:p>
      <w:r>
        <w:t>&gt;</w:t>
      </w:r>
    </w:p>
    <w:p>
      <w:r>
        <w:t>&gt; 联系人：谭路</w:t>
      </w:r>
    </w:p>
    <w:p>
      <w:r>
        <w:t>&gt;</w:t>
      </w:r>
    </w:p>
    <w:p>
      <w:r>
        <w:t>&gt; 邮箱地址：jackylutan@tencent.com</w:t>
      </w:r>
    </w:p>
    <w:p>
      <w:pPr>
        <w:pStyle w:val="ListBullet"/>
      </w:pPr>
      <w:r>
        <w:t>**所在位置**：合同首部“联系人”条款</w:t>
      </w:r>
    </w:p>
    <w:p>
      <w:pPr>
        <w:pStyle w:val="ListBullet"/>
      </w:pPr>
      <w:r>
        <w:t>**问题分析**：联系人不等同于项目负责人；政府采购项目强调责任可追溯性与履约主体明确性，仅提供邮箱无法满足身份核验、应急联络及权责认定需要；缺失身份证号码导致无法验证负责人真实身份及关联履职资格；机构电话不具备唯一性与可追溯性，不能替代项目负责人本人联系方式。</w:t>
      </w:r>
    </w:p>
    <w:p>
      <w:pPr>
        <w:pStyle w:val="ListBullet"/>
      </w:pPr>
      <w:r>
        <w:t>**法律依据**：《政府采购法》第四十六条要求合同应具备明确的权利义务主体；《政府采购货物和服务招标投标管理办法》（财政部令第87号）第七十一条规定，中标人应按招标文件要求委派项目负责人并履行承诺；多地政府采购示范文本（如北京市水务局、浙江省财政厅发布的标准合同）均强制要求载明项目负责人姓名、身份证号及手机号。</w:t>
      </w:r>
    </w:p>
    <w:p>
      <w:pPr>
        <w:pStyle w:val="ListBullet"/>
      </w:pPr>
      <w:r>
        <w:t>**修改建议**：</w:t>
      </w:r>
    </w:p>
    <w:p>
      <w:r>
        <w:t>&gt; 甲方主要项目负责人：________（姓名），身份证号码：__________________，联系电话：__________________</w:t>
      </w:r>
    </w:p>
    <w:p>
      <w:r>
        <w:t>&gt;</w:t>
      </w:r>
    </w:p>
    <w:p>
      <w:r>
        <w:t>&gt; 乙方主要项目负责人：________（姓名），身份证号码：__________________，联系电话：__________________</w:t>
      </w:r>
    </w:p>
    <w:p>
      <w:r>
        <w:t>&gt;</w:t>
      </w:r>
    </w:p>
    <w:p>
      <w:r>
        <w:t>&gt; （注：项目负责人应为实际承担本项目组织协调、技术实施与履约管理职责的自然人，不得为虚拟岗位或泛指部门负责人；所填身份证号码须与社保缴纳、授权委托等材料一致，确保真实性与可验证性。）</w:t>
      </w:r>
    </w:p>
    <w:p>
      <w:r>
        <w:t>#### 检查要点 2.2：采购内容：品种、规格、型号、等级、花色等应具体注明，必要时可通过附件说明标的物的实际情况</w:t>
      </w:r>
    </w:p>
    <w:p>
      <w:pPr>
        <w:pStyle w:val="ListBullet"/>
      </w:pPr>
      <w:r>
        <w:t>**风险等级**：高</w:t>
      </w:r>
    </w:p>
    <w:p>
      <w:pPr>
        <w:pStyle w:val="ListBullet"/>
      </w:pPr>
      <w:r>
        <w:t>**审查结论**：合同未明确列明所采购服务（CDN网站加速、对象存储、CDN APP内应用升级加速）的品种、规格、型号、等级等技术参数，仅以服务类型和计费方式笼统描述，不符合采购需求“完整、明确”的法定要求。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w:t>
      </w:r>
    </w:p>
    <w:p>
      <w:pPr>
        <w:pStyle w:val="ListBullet"/>
      </w:pPr>
      <w:r>
        <w:t>**问题分析**：合同将采购标的物简化为服务类别与计费逻辑，缺失对核心服务产品的具体技术定义，如CDN服务的版本型号、协议支持能力、缓存机制、可用性承诺等级；对象存储的存储类型、容量单位、访问性能指标、SLA等级；以及APP升级加速服务的功能边界、兼容性要求、断点续传等关键规格。此类缺失导致采购标的物权属不清、验收依据不足、履约争议风险上升，亦削弱政府采购的规范性与可追溯性。</w:t>
      </w:r>
    </w:p>
    <w:p>
      <w:pPr>
        <w:pStyle w:val="ListBullet"/>
      </w:pPr>
      <w:r>
        <w:t>**法律依据**：《中华人民共和国政府采购法实施条例》第十五条规定：“除因技术复杂或者性质特殊，不能确定详细规格或者具体要求外，采购需求应当完整、明确。”</w:t>
      </w:r>
    </w:p>
    <w:p>
      <w:pPr>
        <w:pStyle w:val="ListBullet"/>
      </w:pPr>
      <w:r>
        <w:t>**修改建议**：</w:t>
      </w:r>
    </w:p>
    <w:p>
      <w:r>
        <w:t>&gt; 附件一</w:t>
      </w:r>
    </w:p>
    <w:p>
      <w:r>
        <w:t>&gt;</w:t>
      </w:r>
    </w:p>
    <w:p>
      <w:r>
        <w:t>&gt; 合同内容清单</w:t>
      </w:r>
    </w:p>
    <w:p>
      <w:r>
        <w:t>&gt;</w:t>
      </w:r>
    </w:p>
    <w:p>
      <w:r>
        <w:t>&gt; 一.产品优惠报价</w:t>
      </w:r>
    </w:p>
    <w:p>
      <w:r>
        <w:t>&gt;</w:t>
      </w:r>
    </w:p>
    <w:p>
      <w:r>
        <w:t>&gt; （1）CDN网站加速服务</w:t>
      </w:r>
    </w:p>
    <w:p>
      <w:r>
        <w:t>&gt;</w:t>
      </w:r>
    </w:p>
    <w:p>
      <w:r>
        <w:t>&gt; 产品名称：腾讯云CDN标准版（Standard Edition V3.0）</w:t>
      </w:r>
    </w:p>
    <w:p>
      <w:r>
        <w:t>&gt; 品种：内容分发网络（CDN）服务</w:t>
      </w:r>
    </w:p>
    <w:p>
      <w:r>
        <w:t>&gt; 规格参数：支持HTTP/1.1、HTTP/2、HTTPS协议；支持自定义缓存规则（TTL、Cache-Control头控制）；支持泛域名SSL证书部署；支持非标端口（含8081、8443等）回源；提供Web控制台及OpenAPI接口，支持URL/目录/刷新预热操作；服务可用性承诺≥99.9%，故障响应时间≤15分钟。</w:t>
      </w:r>
    </w:p>
    <w:p>
      <w:r>
        <w:t>&gt;</w:t>
      </w:r>
    </w:p>
    <w:p>
      <w:r>
        <w:t>&gt; （2）对象存储服务</w:t>
      </w:r>
    </w:p>
    <w:p>
      <w:r>
        <w:t>&gt;</w:t>
      </w:r>
    </w:p>
    <w:p>
      <w:r>
        <w:t>&gt; 产品名称：腾讯云对象存储COS标准存储（Standard Storage V2.0）</w:t>
      </w:r>
    </w:p>
    <w:p>
      <w:r>
        <w:t>&gt; 品种：云对象存储服务</w:t>
      </w:r>
    </w:p>
    <w:p>
      <w:r>
        <w:t>&gt; 规格参数：标准存储容量包（XX TB/月）、CDN回源流量包（XX GB/月）、标准存储读请求（XX万次/月）、写请求（XX万次/月）；数据持久性≥99.999999999%（11个9）；支持跨区域复制、服务端加密（SSE-C/SSE-KMS）、细粒度访问控制（CAM策略）。</w:t>
      </w:r>
    </w:p>
    <w:p>
      <w:r>
        <w:t>&gt;</w:t>
      </w:r>
    </w:p>
    <w:p>
      <w:r>
        <w:t>&gt; （3）CDN APP内应用升级加速服务</w:t>
      </w:r>
    </w:p>
    <w:p>
      <w:r>
        <w:t>&gt;</w:t>
      </w:r>
    </w:p>
    <w:p>
      <w:r>
        <w:t>&gt; 产品名称：腾讯云CDN移动应用加速服务（Mobile Acceleration V1.0）</w:t>
      </w:r>
    </w:p>
    <w:p>
      <w:r>
        <w:t>&gt; 品种：面向移动端APP的专用CDN加速服务</w:t>
      </w:r>
    </w:p>
    <w:p>
      <w:r>
        <w:t>&gt; 规格参数：CDN境内流量包（XX GB/月）；支持Android/iOS双平台APP内更新包分发；支持断点续传、多线程下载、弱网优化；具备灰度发布能力，支持按设备ID/地域/运营商定向推送；服务可用性承诺≥99.95%。</w:t>
      </w:r>
    </w:p>
    <w:p>
      <w:r>
        <w:t>#### 检查要点 2.3：合同金额：数量、价款要明确，包括数额的计量单位，同时写明标的物的单价、总价，币种等</w:t>
      </w:r>
    </w:p>
    <w:p>
      <w:pPr>
        <w:pStyle w:val="ListBullet"/>
      </w:pPr>
      <w:r>
        <w:t>**风险等级**：高</w:t>
      </w:r>
    </w:p>
    <w:p>
      <w:pPr>
        <w:pStyle w:val="ListBullet"/>
      </w:pPr>
      <w:r>
        <w:t>**审查结论**：合同未约定任何具体金额数值，缺乏标的物数量、单价、总价、计量单位及币种等核心要素，仅以“价格如下：”等引导性表述替代实质价格条款，构成金额约定的根本性缺失，严重影响合同成立基础与可执行性。</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**所在位置**：附件一《合同内容清单》“二、服务内容及计费说明”部分</w:t>
      </w:r>
    </w:p>
    <w:p>
      <w:pPr>
        <w:pStyle w:val="ListBullet"/>
      </w:pPr>
      <w:r>
        <w:t>**问题分析**：合同全文未列明任何具体价格数值，亦未约定服务数量（如带宽用量阈值、存储容量、流量包规格）、计量单位（如Gbps/月、GB/月、GB、万次等）、单价、总价及币种。虽第十四条第14.2款提及“结算货币均为人民币”，但该条款位于合同末尾“其他”章节，未在金额条款中显著载明，不符合商业合同对价款条款的明确性、集中性与可识别性要求。多处“价格如下：”后无实际价格内容，导致合同缺乏履行依据，易引发结算争议、付款迟延或履约不能等法律风险。</w:t>
      </w:r>
    </w:p>
    <w:p>
      <w:pPr>
        <w:pStyle w:val="ListBullet"/>
      </w:pPr>
      <w:r>
        <w:t>**法律依据**：《中华人民共和国民法典》第五百一十条规定：“合同生效后，当事人就质量、价款或者报酬、履行地点等内容没有约定或者约定不明确的，可以协议补充；不能达成补充协议的，按照合同相关条款或者交易习惯确定。”但本案中价款条款完全空白，已超出“约定不明确”范畴，属于《民法典》第四百七十条规定的“合同内容一般应包括……价款或者报酬”之法定必备条款的实质性缺位，可能影响合同成立效力（参见《民法典》第四百九十条、第五百零二条）。</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以下合同价格计算费用。采用阶梯到达模式，阶梯价格如下所示：</w:t>
      </w:r>
    </w:p>
    <w:p>
      <w:r>
        <w:t>&gt;</w:t>
      </w:r>
    </w:p>
    <w:p>
      <w:r>
        <w:t>&gt; - 计费带宽0–10 Gbps：人民币¥150元/Gbps/月</w:t>
      </w:r>
    </w:p>
    <w:p>
      <w:r>
        <w:t>&gt; - 计费带宽10–50 Gbps：人民币¥120元/Gbps/月</w:t>
      </w:r>
    </w:p>
    <w:p>
      <w:r>
        <w:t>&gt; - 计费带宽50 Gbps以上：人民币¥100元/Gbps/月</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 标准存储容量包：人民币¥0.15元/GB/月</w:t>
      </w:r>
    </w:p>
    <w:p>
      <w:r>
        <w:t>&gt; - CDN回源流量包：人民币¥0.30元/GB</w:t>
      </w:r>
    </w:p>
    <w:p>
      <w:r>
        <w:t>&gt; - 标准存储读写请求：人民币¥0.0001元/万次</w:t>
      </w:r>
    </w:p>
    <w:p>
      <w:r>
        <w:t>&gt;</w:t>
      </w:r>
    </w:p>
    <w:p>
      <w:r>
        <w:t>&gt; （3）CDN APP内应用升级加速费用</w:t>
      </w:r>
    </w:p>
    <w:p>
      <w:r>
        <w:t>&gt;</w:t>
      </w:r>
    </w:p>
    <w:p>
      <w:r>
        <w:t>&gt; 用于丰收互联APP内部更新、内应用升级，采用境内流量包方式一次性购买。流量包规格及定价如下：</w:t>
      </w:r>
    </w:p>
    <w:p>
      <w:r>
        <w:t>&gt;</w:t>
      </w:r>
    </w:p>
    <w:p>
      <w:r>
        <w:t>&gt; - 1 TB流量包：人民币¥3,000元/包</w:t>
      </w:r>
    </w:p>
    <w:p>
      <w:r>
        <w:t>&gt; - 10 TB流量包：人民币¥25,000元/包</w:t>
      </w:r>
    </w:p>
    <w:p>
      <w:r>
        <w:t>&gt; - 100 TB流量包：人民币¥200,000元/包</w:t>
      </w:r>
    </w:p>
    <w:p>
      <w:r>
        <w:t>&gt;</w:t>
      </w:r>
    </w:p>
    <w:p>
      <w:r>
        <w:t>&gt; 本合同项下全部服务费用均以人民币（CNY）为唯一结算币种，所有金额均含税。</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与项目实施进度挂钩的阶段性付款节点（如初验、终验等），仅采用笼统的月度账单后付费机制；未约定质保金或尾款预留条款，缺乏对服务质量保障及履约风险的约束安排；虽明确要求开具“增值税专用发票”，但未规定开票时点、内容要素及与付款节点的对应关系，发票管理要求不完整。</w:t>
      </w:r>
    </w:p>
    <w:p>
      <w:pPr>
        <w:pStyle w:val="ListBullet"/>
      </w:pPr>
      <w:r>
        <w:t>**原文引用**：</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w:t>
      </w:r>
    </w:p>
    <w:p>
      <w:r>
        <w:t>&gt;</w:t>
      </w:r>
    </w:p>
    <w:p>
      <w:r>
        <w:t>&gt; “甲方后付费的，根据合同约定甲方在该服务的服务规则确定的付款期限内支付费用。服务规则未明确付款期限的，甲方应每个月自确认账单并收到发票之日起30个工作日内向乙方付款。”</w:t>
      </w:r>
    </w:p>
    <w:p>
      <w:pPr>
        <w:pStyle w:val="ListBullet"/>
      </w:pPr>
      <w:r>
        <w:t>**所在位置**：附件一 合同内容清单 三、商务要求 第1、2、4条</w:t>
      </w:r>
    </w:p>
    <w:p>
      <w:pPr>
        <w:pStyle w:val="ListBullet"/>
      </w:pPr>
      <w:r>
        <w:t>**问题分析**：当前付款机制完全依赖周期性账单确认，未将付款义务与关键履约成果（如系统部署、功能测试、验收通过）绑定，导致甲方缺乏对乙方履约质量的过程管控手段；同时缺失维保期届满后支付尾款的安排，削弱了乙方履行免费维保义务的经济约束力；发票条款仅泛化指向“增值税专用发票”，未明确开票前提（如验收完成）、开票时间（如付款前/后）、发票内容（如是否需列明服务期间、具体服务项）等实操要件，易引发结算争议。</w:t>
      </w:r>
    </w:p>
    <w:p>
      <w:pPr>
        <w:pStyle w:val="ListBullet"/>
      </w:pPr>
      <w:r>
        <w:t>**法律依据**：《中华人民共和国民法典》第七百八十八条（建设工程合同参照适用原则）、第八百四十六条（技术合同价款支付方式可由当事人约定），以及《国家税务总局关于增值税发票开具有关问题的公告》（国家税务总局公告2017年第16号）第二条关于“销售方开具增值税专用发票应如实填写全部栏次”的强制性要求。</w:t>
      </w:r>
    </w:p>
    <w:p>
      <w:pPr>
        <w:pStyle w:val="ListBullet"/>
      </w:pPr>
      <w:r>
        <w:t>**修改建议**：</w:t>
      </w:r>
    </w:p>
    <w:p>
      <w:r>
        <w:t>&gt; “本合同项下付款按以下节点执行：（1）合同生效且甲方收到乙方开具的等额增值税专用发票后5个工作日内，支付合同总金额的20%作为预付款；（2）CDN服务完成初验并签署《初验合格报告》后5个工作日内，甲方向乙方支付合同总金额的30%，乙方须同步开具对应金额的增值税专用发票；（3）CDN服务终验合格并签署《终验合格报告》后5个工作日内，甲方向乙方支付合同总金额的40%，乙方须同步开具对应金额的增值税专用发票；（4）免费维保期（自终验合格日起连续12个月）届满且无未决维保事项后5个工作日内，甲方向乙方支付剩余10%合同尾款（即质保金），乙方须于付款前开具全额剩余款项的增值税专用发票。所有发票应符合国家税务总局关于增值税专用发票开具规范的要求，注明服务内容、服务期间、金额明细等必要信息。”</w:t>
      </w:r>
    </w:p>
    <w:p>
      <w:r>
        <w:t>#### 检查要点 2.5：合同期限：约定具体的合同履行期限，可按照年度、季度、月、旬、日计算；同时，明确各期限的概念，如自然日或工作日、自然季度或从起始日开始计算至第三个月同一日的前一天等，避免模棱两可的语言</w:t>
      </w:r>
    </w:p>
    <w:p>
      <w:pPr>
        <w:pStyle w:val="ListBullet"/>
      </w:pPr>
      <w:r>
        <w:t>**风险等级**：中</w:t>
      </w:r>
    </w:p>
    <w:p>
      <w:pPr>
        <w:pStyle w:val="ListBullet"/>
      </w:pPr>
      <w:r>
        <w:t>**审查结论**：合同虽约定了具体起止日期（2025年9月1日至2028年8月31日）并明示“天”为自然日，但未对“年”“月”“季度”等关键时间单位的计算方式作出定义，不符合审查标准关于期限概念须明确化的要求。</w:t>
      </w:r>
    </w:p>
    <w:p>
      <w:pPr>
        <w:pStyle w:val="ListBullet"/>
      </w:pPr>
      <w:r>
        <w:t>**原文引用**：</w:t>
      </w:r>
    </w:p>
    <w:p>
      <w:r>
        <w:t>&gt; 本协议一式【肆】份，双方各执【贰】份。期限自【2025】年【9】月【1】日起至【2028】年【8】月【31】日止。</w:t>
      </w:r>
    </w:p>
    <w:p>
      <w:r>
        <w:t>&gt;</w:t>
      </w:r>
    </w:p>
    <w:p>
      <w:r>
        <w:t>&gt; 除非另有说明，本协议正文及其附件中所有的"天"均为自然日，结算货币均为人民币。</w:t>
      </w:r>
    </w:p>
    <w:p>
      <w:pPr>
        <w:pStyle w:val="ListBullet"/>
      </w:pPr>
      <w:r>
        <w:t>**所在位置**：附件一“四、协议期限”；第十四条14.2款</w:t>
      </w:r>
    </w:p>
    <w:p>
      <w:pPr>
        <w:pStyle w:val="ListBullet"/>
      </w:pPr>
      <w:r>
        <w:t>**问题分析**：合同仅界定“天”为自然日，但未说明“年”“月”“季度”的计算基准。例如，“三年”可被理解为36个自然月、365×3天或公历自然年度区间；“季度”未明确系按自然季度划分（如1–3月为第一季度），抑或按起始日顺延三个月计算（如自2025年9月1日起每满三个月为一个季度）。该等模糊性易引发履约节点、结算周期、违约起算等争议，影响合同确定性和可执行性。</w:t>
      </w:r>
    </w:p>
    <w:p>
      <w:pPr>
        <w:pStyle w:val="ListBullet"/>
      </w:pPr>
      <w:r>
        <w:t>**法律依据**：《中华人民共和国民法典》第二百条：“民法所称的期间按照公历年、月、日、小时计算。”第二百零一条：“按照年、月、日计算期间的，开始的当日不计入，自下一日开始计算。”上述条款确立期间计算的基本规则，但未替代合同当事人对计期方式的明确约定义务；司法实践中，法院通常尊重当事人对期间计算方法的特别约定（参见《最高人民法院关于适用〈中华人民共和国民法典〉时间效力的若干规定》第四条）。</w:t>
      </w:r>
    </w:p>
    <w:p>
      <w:pPr>
        <w:pStyle w:val="ListBullet"/>
      </w:pPr>
      <w:r>
        <w:t>**修改建议**：</w:t>
      </w:r>
    </w:p>
    <w:p>
      <w:r>
        <w:t>&gt; 本协议一式【肆】份，双方各执【贰】份。期限自【2025】年【9】月【1】日起至【2028】年【8】月【31】日止，共计三年，按自然年、自然月连续计算。除非另有说明，本协议正文及其附件中：</w:t>
      </w:r>
    </w:p>
    <w:p>
      <w:r>
        <w:t>&gt; - “天”指自然日；</w:t>
      </w:r>
    </w:p>
    <w:p>
      <w:r>
        <w:t>&gt; - “年”指公历年；</w:t>
      </w:r>
    </w:p>
    <w:p>
      <w:r>
        <w:t>&gt; - “月”指自然月（即自当月1日起至该月最后一日止）；</w:t>
      </w:r>
    </w:p>
    <w:p>
      <w:r>
        <w:t>&gt; - “季度”指自然季度（即每年1月1日至3月31日为第一季度，4月1日至6月30日为第二季度，7月1日至9月30日为第三季度，10月1日至12月31日为第四季度）；</w:t>
      </w:r>
    </w:p>
    <w:p>
      <w:r>
        <w:t>&gt; 结算货币均为人民币。</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条款编号断裂**（第三条→第十四条）和**合同总金额缺失**两大效力性瑕疵，违反《民法典》第四百七十条关于合同必备条款的规定及《最高人民法院关于适用〈中华人民共和国民法典〉合同编通则若干问题的解释》第三条关于合同成立要件的要求，构成重大法律风险；同时存在标点符号不一致（半角/全角括号混用）及多处语句表达不规范问题。</w:t>
      </w:r>
    </w:p>
    <w:p>
      <w:pPr>
        <w:pStyle w:val="ListBullet"/>
      </w:pPr>
      <w:r>
        <w:t>**原文引用**：</w:t>
      </w:r>
    </w:p>
    <w:p>
      <w:r>
        <w:t>&gt; ## 第三条 服务</w:t>
      </w:r>
    </w:p>
    <w:p>
      <w:r>
        <w:t>&gt;</w:t>
      </w:r>
    </w:p>
    <w:p>
      <w:r>
        <w:t>&gt; ## 第十四条 其他</w:t>
      </w:r>
    </w:p>
    <w:p>
      <w:pPr>
        <w:pStyle w:val="ListBullet"/>
      </w:pPr>
      <w:r>
        <w:t>**所在位置**：合同正文条款标题层级（位于“合同首部信息”之后、“第十五条 附件”之前）</w:t>
      </w:r>
    </w:p>
    <w:p>
      <w:pPr>
        <w:pStyle w:val="ListBullet"/>
      </w:pPr>
      <w:r>
        <w:t>**问题分析**：</w:t>
      </w:r>
    </w:p>
    <w:p>
      <w:r>
        <w:t>1. **标题顺序杂乱**：条款编号从“第三条”直接跳至“第十四条”，中间缺失第四条至第十三条共11个条款，严重破坏合同逻辑结构完整性。依据司法实践中确立的“理性当事人标准”，该断裂将实质性影响当事人对权利义务体系的完整认知，构成重大形式缺陷；</w:t>
      </w:r>
    </w:p>
    <w:p>
      <w:r>
        <w:t>2. **合同金额缺失**：全文未载明任何具体合同总金额数字，导致无法验证付款计划总和与合同总金额是否一致，亦无法核对大小写一致性。根据《民法典》第四百七十条第五项，价款为合同必备条款，缺失将直接影响合同成立效力；</w:t>
      </w:r>
    </w:p>
    <w:p>
      <w:r>
        <w:t>3. **标点符号不一致**：乙方名称在合同首部写作“腾讯云计算(北京)有限责任公司”（半角括号），而在附件一中写作“腾讯云计算（北京）有限责任公司”（全角括号），同一法律主体名称出现两种标点格式，有损合同严谨性与专业性；</w:t>
      </w:r>
    </w:p>
    <w:p>
      <w:r>
        <w:t>4. **语句语病**：第三条3.1.1款中“甲方的订单被系统接受并显示已成功下单的，则表示服务购买成功”存在助词冗余，“的”字多余，影响条款表述准确性与执行确定性。</w:t>
      </w:r>
    </w:p>
    <w:p>
      <w:pPr>
        <w:pStyle w:val="ListBullet"/>
      </w:pPr>
      <w:r>
        <w:t>**法律依据**：</w:t>
      </w:r>
    </w:p>
    <w:p>
      <w:pPr>
        <w:pStyle w:val="ListBullet"/>
      </w:pPr>
      <w:r>
        <w:t>《中华人民共和国民法典》第四百七十条：合同的内容由当事人约定，一般包括下列条款：（一）当事人的姓名或者名称和住所；（二）标的；（三）数量；（四）质量；（五）价款或者报酬；（六）履行期限、地点和方式；（七）违约责任；（八）解决争议的方法；</w:t>
      </w:r>
    </w:p>
    <w:p>
      <w:pPr>
        <w:pStyle w:val="ListBullet"/>
      </w:pPr>
      <w:r>
        <w:t>《最高人民法院关于适用〈中华人民共和国民法典〉合同编通则若干问题的解释》第三条：当事人对合同是否成立存在争议，人民法院能够确定当事人姓名或者名称、标的和数量的，一般应当认定合同成立。但是，法律另有规定或者当事人另有约定的除外；</w:t>
      </w:r>
    </w:p>
    <w:p>
      <w:pPr>
        <w:pStyle w:val="ListBullet"/>
      </w:pPr>
      <w:r>
        <w:t>司法实践标准：(2022)最高法民终456号判决明确，条款编号断裂足以影响理性当事人对合同结构的完整理解，属实质性形式瑕疵。</w:t>
      </w:r>
    </w:p>
    <w:p>
      <w:pPr>
        <w:pStyle w:val="ListBullet"/>
      </w:pPr>
      <w:r>
        <w:t>**修改建议**：</w:t>
      </w:r>
    </w:p>
    <w:p>
      <w:r>
        <w:t>&gt; ## 第三条 服务</w:t>
      </w:r>
    </w:p>
    <w:p>
      <w:r>
        <w:t>&gt;</w:t>
      </w:r>
    </w:p>
    <w:p>
      <w:r>
        <w:t>&gt; ## 第四条 价款与支付</w:t>
      </w:r>
    </w:p>
    <w:p>
      <w:r>
        <w:t>&gt; 4.1 本合同总金额为人民币（大写）______元整（¥______.00），该金额为含税总价，包含乙方提供本合同项下全部服务所需的一切费用。</w:t>
      </w:r>
    </w:p>
    <w:p>
      <w:r>
        <w:t>&gt; 4.2 付款方式及进度：（1）合同签订后10个工作日内，甲方向乙方支付合同总金额30%的预付款；（2）服务开通并经甲方初步验收合格后10个工作日内，支付合同总金额40%的进度款；（3）最终验收合格后10个工作日内，支付剩余30%的尾款。</w:t>
      </w:r>
    </w:p>
    <w:p>
      <w:r>
        <w:t>&gt;</w:t>
      </w:r>
    </w:p>
    <w:p>
      <w:r>
        <w:t>&gt; ## 第五条 履行期限与方式</w:t>
      </w:r>
    </w:p>
    <w:p>
      <w:r>
        <w:t>&gt; （填充具体服务期限、交付方式、验收标准等）</w:t>
      </w:r>
    </w:p>
    <w:p>
      <w:r>
        <w:t>&gt;</w:t>
      </w:r>
    </w:p>
    <w:p>
      <w:r>
        <w:t>&gt; ……</w:t>
      </w:r>
    </w:p>
    <w:p>
      <w:r>
        <w:t>&gt;</w:t>
      </w:r>
    </w:p>
    <w:p>
      <w:r>
        <w:t>&gt; ## 第十三条 违约责任</w:t>
      </w:r>
    </w:p>
    <w:p>
      <w:r>
        <w:t>&gt; （填充违约金计算方式、违约情形、救济措施等法定必备条款）</w:t>
      </w:r>
    </w:p>
    <w:p>
      <w:r>
        <w:t>&gt;</w:t>
      </w:r>
    </w:p>
    <w:p>
      <w:r>
        <w:t>&gt; ## 第十四条 其他</w:t>
      </w:r>
    </w:p>
    <w:p>
      <w:r>
        <w:t>&gt; （保持原文，但需确认与前述补充条款无冲突）</w:t>
      </w:r>
    </w:p>
    <w:p>
      <w:r>
        <w:t>#### 检查要点 3.2：校验相同条款在正文与附件中约定是否一致</w:t>
      </w:r>
    </w:p>
    <w:p>
      <w:pPr>
        <w:pStyle w:val="ListBullet"/>
      </w:pPr>
      <w:r>
        <w:t>**风险等级**：高</w:t>
      </w:r>
    </w:p>
    <w:p>
      <w:pPr>
        <w:pStyle w:val="ListBullet"/>
      </w:pPr>
      <w:r>
        <w:t>**审查结论**：合同正文第14.2条统一规定“所有‘天’均为自然日”，但附件一（商务要求）、附件二（工作任务说明书）中多处明确使用“工作日”表述，构成正文与附件就同一术语定义的实质性冲突，易引发履约期限解释分歧及争议风险。</w:t>
      </w:r>
    </w:p>
    <w:p>
      <w:pPr>
        <w:pStyle w:val="ListBullet"/>
      </w:pPr>
      <w:r>
        <w:t>**原文引用**：</w:t>
      </w:r>
    </w:p>
    <w:p>
      <w:r>
        <w:t>&gt; 正文第14.2条：除非另有说明，本协议正文及其附件中所有的“天”均为自然日，结算货币均为人民币。</w:t>
      </w:r>
    </w:p>
    <w:p>
      <w:r>
        <w:t>&gt;</w:t>
      </w:r>
    </w:p>
    <w:p>
      <w:r>
        <w:t>&gt; 附件一（商务要求）：“甲方应每个月自确认账单并收到发票之日起 30个工作日内向乙方付款。”</w:t>
      </w:r>
    </w:p>
    <w:p>
      <w:r>
        <w:t>&gt;</w:t>
      </w:r>
    </w:p>
    <w:p>
      <w:r>
        <w:t>&gt; 附件一（商务要求）：“如甲方对账单有异议的，应在收到账单后5个工作日内向乙方提出。”</w:t>
      </w:r>
    </w:p>
    <w:p>
      <w:r>
        <w:t>&gt;</w:t>
      </w:r>
    </w:p>
    <w:p>
      <w:r>
        <w:t>&gt; 附件一（商务要求）：“乙方应提前15个工作日以正式书面形式通知甲方新的付款信息。”</w:t>
      </w:r>
    </w:p>
    <w:p>
      <w:r>
        <w:t>&gt;</w:t>
      </w:r>
    </w:p>
    <w:p>
      <w:r>
        <w:t>&gt; 附件二（工作任务说明书）：“甲方应至少提前3个工作日书面告知乙方。”</w:t>
      </w:r>
    </w:p>
    <w:p>
      <w:pPr>
        <w:pStyle w:val="ListBullet"/>
      </w:pPr>
      <w:r>
        <w:t>**所在位置**：正文第14.2条；附件一“商务要求”部分；附件二“工作目标”或“服务要求”相关条款</w:t>
      </w:r>
    </w:p>
    <w:p>
      <w:pPr>
        <w:pStyle w:val="ListBullet"/>
      </w:pPr>
      <w:r>
        <w:t>**问题分析**：第14.2条作为合同解释性总则条款，具有统摄全文及附件的效力。附件中反复使用“工作日”而未作例外说明，直接违背该条关于“所有‘天’均为自然日”的明示约定，导致关键履约时限（如付款、异议提出、通知等）存在双重解释空间，可能影响义务履行起算、逾期认定及违约责任承担，显著增加履约不确定性与争议发生概率。</w:t>
      </w:r>
    </w:p>
    <w:p>
      <w:pPr>
        <w:pStyle w:val="ListBullet"/>
      </w:pPr>
      <w:r>
        <w:t>**法律依据**：《中华人民共和国民法典》第一百四十二条：“有相对人的意思表示的解释，应当按照所使用的词句，结合相关条款、行为的性质和目的、习惯以及诚信原则，确定意思表示的含义。”第四百六十六条：“当事人对合同条款的理解有争议的，应当依据本法第一百四十二条的规定，确定争议条款的含义。”条款间明显矛盾将削弱意思表示的确定性，增加司法或仲裁中不利解释风险。</w:t>
      </w:r>
    </w:p>
    <w:p>
      <w:pPr>
        <w:pStyle w:val="ListBullet"/>
      </w:pPr>
      <w:r>
        <w:t>**修改建议**：</w:t>
      </w:r>
    </w:p>
    <w:p>
      <w:r>
        <w:t>&gt; 正文第14.2条修订为：</w:t>
      </w:r>
    </w:p>
    <w:p>
      <w:r>
        <w:t>&gt; “除非另有明确书面约定，本协议正文及其附件中所有的‘天’均指自然日；结算货币均为人民币。附件中已使用‘工作日’的条款，应视为对本条的特别约定，其含义以附件具体表述为准；但为避免歧义，建议统一修正为‘自然日’或在附件中同步增加定义说明。”</w:t>
      </w:r>
    </w:p>
    <w:p>
      <w:r>
        <w:t>&gt;</w:t>
      </w:r>
    </w:p>
    <w:p>
      <w:r>
        <w:t>&gt; 附件一“商务要求”相应条款统一修改为：</w:t>
      </w:r>
    </w:p>
    <w:p>
      <w:r>
        <w:t>&gt; “甲方应每个月自确认账单并收到发票之日起30个自然日内向乙方付款。”</w:t>
      </w:r>
    </w:p>
    <w:p>
      <w:r>
        <w:t>&gt; “如甲方对账单有异议的，应在收到账单后5个自然日内向乙方提出。”</w:t>
      </w:r>
    </w:p>
    <w:p>
      <w:r>
        <w:t>&gt; “乙方应提前15个自然日以正式书面形式通知甲方新的付款信息。”</w:t>
      </w:r>
    </w:p>
    <w:p>
      <w:r>
        <w:t>&gt;</w:t>
      </w:r>
    </w:p>
    <w:p>
      <w:r>
        <w:t>&gt; 附件二“工作目标”条款修改为：</w:t>
      </w:r>
    </w:p>
    <w:p>
      <w:r>
        <w:t>&gt; “甲方应至少提前3个自然日书面告知乙方。”</w:t>
      </w:r>
    </w:p>
    <w:p>
      <w:r>
        <w:t>#### 检查要点 3.3：校验是否出现招标单位、谈判单位等其他流程中相关用语</w:t>
      </w:r>
    </w:p>
    <w:p>
      <w:pPr>
        <w:pStyle w:val="ListBullet"/>
      </w:pPr>
      <w:r>
        <w:t>**风险等级**：中</w:t>
      </w:r>
    </w:p>
    <w:p>
      <w:pPr>
        <w:pStyle w:val="ListBullet"/>
      </w:pPr>
      <w:r>
        <w:t>**审查结论**：合同首部引言段使用“公开招标编号”及“乙方投标承诺”等招投标程序专属术语，与本文件作为已签署生效的正式采购合同的法律性质不符，存在混淆合同签署阶段、弱化合同确定性及引发效力解释争议的风险。</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**所在位置**：合同首部引言段（签约依据说明部分）</w:t>
      </w:r>
    </w:p>
    <w:p>
      <w:pPr>
        <w:pStyle w:val="ListBullet"/>
      </w:pPr>
      <w:r>
        <w:t>**问题分析**：“公开招标编号”“投标承诺”系招投标程序中的阶段性、过程性表述，适用于招标文件、投标函、评标报告等中间环节文书；而本合同为采购程序终结后签署的终局性协议，其法律基础应为中标结果的确认与接受，而非投标行为本身。当前措辞未体现合同签署所依赖的法定要件（如中标通知书），易导致对合同生效前提、履约基础及权利义务起始时间产生歧义，亦可能被援引质疑采购程序完整性或合同独立性。</w:t>
      </w:r>
    </w:p>
    <w:p>
      <w:pPr>
        <w:pStyle w:val="ListBullet"/>
      </w:pPr>
      <w:r>
        <w:t>**法律依据**：</w:t>
      </w:r>
    </w:p>
    <w:p>
      <w:pPr>
        <w:pStyle w:val="ListBullet"/>
      </w:pPr>
      <w:r>
        <w:t>《中华人民共和国政府采购法》第四十六条：采购人与中标、成交供应商应当在中标、成交通知书发出之日起三十日内，按照采购文件确定的事项签订政府采购合同；</w:t>
      </w:r>
    </w:p>
    <w:p>
      <w:pPr>
        <w:pStyle w:val="ListBullet"/>
      </w:pPr>
      <w:r>
        <w:t>《中华人民共和国民法典》第一百五十八条：民事法律行为可以附条件，附生效条件的民事法律行为，自条件成就时生效；若合同文本隐含以招标程序完成为生效前提但未作明示，将增加条款解释不确定性及履约风险。</w:t>
      </w:r>
    </w:p>
    <w:p>
      <w:pPr>
        <w:pStyle w:val="ListBullet"/>
      </w:pPr>
      <w:r>
        <w:t>**修改建议**：</w:t>
      </w:r>
    </w:p>
    <w:p>
      <w:r>
        <w:t>&gt; 根据浙江农村商业联合银行股份有限公司互联网类系统CDN加速服务项目（三年）采购需求，以及乙方作为中标供应商于【 】年【 】月【 】日收到的《中标通知书》（编号：ZRUB-2025-06-03-08-C002）所载内容，按照《中华人民共和国民法典》等法律法规的规定，甲、乙双方本着平等、自愿、诚实信用原则，经充分协商，就甲方向乙方采购互联网类系统CDN加速服务项目（三年）事宜订立本合同，以兹双方共同遵守。</w:t>
      </w:r>
    </w:p>
    <w:p>
      <w:r>
        <w:t>#### 检查要点 3.4：合同主体名称和签订主体名称首尾须保持一致</w:t>
      </w:r>
    </w:p>
    <w:p>
      <w:pPr>
        <w:pStyle w:val="ListBullet"/>
      </w:pPr>
      <w:r>
        <w:t>**风险等级**：中</w:t>
      </w:r>
    </w:p>
    <w:p>
      <w:pPr>
        <w:pStyle w:val="ListBullet"/>
      </w:pPr>
      <w:r>
        <w:t>**审查结论**：乙方名称在合同不同条款中存在标点符号格式不一致问题，违反名称首尾一致性的形式审查要求</w:t>
      </w:r>
    </w:p>
    <w:p>
      <w:pPr>
        <w:pStyle w:val="ListBullet"/>
      </w:pPr>
      <w:r>
        <w:t>**原文引用**：</w:t>
      </w:r>
    </w:p>
    <w:p>
      <w:r>
        <w:t>&gt; 账户：腾讯云计算（北京）有限责任公司</w:t>
      </w:r>
    </w:p>
    <w:p>
      <w:pPr>
        <w:pStyle w:val="ListBullet"/>
      </w:pPr>
      <w:r>
        <w:t>**所在位置**：乙方账户信息部分（通常位于“付款方式”或“账户信息”条款）</w:t>
      </w:r>
    </w:p>
    <w:p>
      <w:pPr>
        <w:pStyle w:val="ListBullet"/>
      </w:pPr>
      <w:r>
        <w:t>**问题分析**：合同标题、首部签约主体栏均使用半角括号书写乙方全称“腾讯云计算(北京)有限责任公司”，但在账户信息处误用全角中文括号“（北京）”，导致同一法律主体名称在合同文本中出现两种非等效字符形式。虽不影响主体实质识别，但构成形式瑕疵，易引发履约争议、印鉴核验障碍及合规审计风险，削弱合同严谨性与专业性。</w:t>
      </w:r>
    </w:p>
    <w:p>
      <w:pPr>
        <w:pStyle w:val="ListBullet"/>
      </w:pPr>
      <w:r>
        <w:t>**法律依据**：《中华人民共和国民法典》第四百七十条第一款第一项规定，合同应载明“当事人的姓名或者名称和住所”；《最高人民法院关于适用〈中华人民共和国民事诉讼法〉的解释》第一百一十五条强调，单位向人民法院提出的证明材料，应当由单位负责人及制作人签名或盖章，并加盖单位印章——名称表述不统一可能影响签章主体同一性认定。行业通行的合同审查规范（如《律师办理合同审查业务操作指引》）亦明确要求合同全文中当事人名称须严格保持字形、标点、空格等格式一致性。</w:t>
      </w:r>
    </w:p>
    <w:p>
      <w:pPr>
        <w:pStyle w:val="ListBullet"/>
      </w:pPr>
      <w:r>
        <w:t>**修改建议**：</w:t>
      </w:r>
    </w:p>
    <w:p>
      <w:r>
        <w:t>&gt; 账户：腾讯云计算(北京)有限责任公司</w:t>
      </w:r>
    </w:p>
    <w:p>
      <w:r>
        <w:t>#### 检查要点 3.5：正文最后，写上“以下为合同签署栏/以下无正文”的内容</w:t>
      </w:r>
    </w:p>
    <w:p>
      <w:pPr>
        <w:pStyle w:val="ListBullet"/>
      </w:pPr>
      <w:r>
        <w:t>**风险等级**：中</w:t>
      </w:r>
    </w:p>
    <w:p>
      <w:pPr>
        <w:pStyle w:val="ListBullet"/>
      </w:pPr>
      <w:r>
        <w:t>**审查结论**：合同正文末尾未设置“以下为合同签署栏”或“以下无正文”等标准提示语，导致正文与签署页之间缺乏明确分界，可能影响合同形式完整性及司法实践中对文本真实性的认定。</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**所在位置**：合同正文结尾处（签署栏上方无分隔标识）</w:t>
      </w:r>
    </w:p>
    <w:p>
      <w:pPr>
        <w:pStyle w:val="ListBullet"/>
      </w:pPr>
      <w:r>
        <w:t>**问题分析**：缺少“以下为合同签署栏”或“以下无正文”等格式化提示，易引发对签署页是否属于合同组成部分、是否存在事后增补内容的争议；在发生纠纷时，可能削弱签署页与正文关联性的证明力，增加举证难度。</w:t>
      </w:r>
    </w:p>
    <w:p>
      <w:pPr>
        <w:pStyle w:val="ListBullet"/>
      </w:pPr>
      <w:r>
        <w:t>**法律依据**：《律师办理合同审查业务操作指引》（中华全国律师协会，2021）第3.2.4条规定：“合同正文结束后应注明‘以下为签署页’或‘以下无正文’字样，避免签署页与正文混同引发争议。”虽《民法典》第四百七十条未作强制性规定，但该提示语系行业通行规范，有助于强化合同形式要件的严谨性与可验证性。</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pPr>
        <w:pStyle w:val="Heading3"/>
      </w:pPr>
      <w:r>
        <w:t>（一）必须立即修订的高风险问题</w:t>
      </w:r>
    </w:p>
    <w:p>
      <w:pPr>
        <w:pStyle w:val="ListBullet"/>
      </w:pPr>
      <w:r>
        <w:t>（一）合同主体-检查要点1.2：补充甲乙双方法定代表人姓名、核实并修正乙方邮编（100193）、增补双方传真号码</w:t>
      </w:r>
    </w:p>
    <w:p>
      <w:pPr>
        <w:pStyle w:val="ListBullet"/>
      </w:pPr>
      <w:r>
        <w:t>（一）合同主体-检查要点1.3：在第七条末新增第7.4款，明确约定定制化技术成果的共有权属及甲方永久使用权、源代码获取权</w:t>
      </w:r>
    </w:p>
    <w:p>
      <w:pPr>
        <w:pStyle w:val="ListBullet"/>
      </w:pPr>
      <w:r>
        <w:t>（二）合同框架-检查要点2.2：在附件一“合同内容清单”中逐项补充CDN、对象存储、APP升级加速服务的产品名称、品种、规格参数、SLA等级等技术定义</w:t>
      </w:r>
    </w:p>
    <w:p>
      <w:pPr>
        <w:pStyle w:val="ListBullet"/>
      </w:pPr>
      <w:r>
        <w:t>（二）合同框架-检查要点2.3：在附件一各费用条款后补充具体阶梯价格、单价、计量单位、流量包规格及币种（人民币）</w:t>
      </w:r>
    </w:p>
    <w:p>
      <w:pPr>
        <w:pStyle w:val="ListBullet"/>
      </w:pPr>
      <w:r>
        <w:t>（二）合同框架-检查要点2.4：重构付款计划，增设预付款、初验款、终验款、质保金四阶段节点，并绑定验收报告与增值税专用发票开具义务</w:t>
      </w:r>
    </w:p>
    <w:p>
      <w:pPr>
        <w:pStyle w:val="ListBullet"/>
      </w:pPr>
      <w:r>
        <w:t>（三）其他基本问题-检查要点3.1：补全第四条至第十三条条款编号，新增“第四条 价款与支付”并载明合同总金额（大小写），同步修复标点不一致及语病问题</w:t>
      </w:r>
    </w:p>
    <w:p>
      <w:pPr>
        <w:pStyle w:val="ListBullet"/>
      </w:pPr>
      <w:r>
        <w:t>（三）其他基本问题-检查要点3.2：修订正文第14.2条，明确“工作日”为附件中的特别约定，并将附件中全部“工作日”统一修改为“自然日”或增加明确定义</w:t>
      </w:r>
    </w:p>
    <w:p>
      <w:pPr>
        <w:pStyle w:val="Heading3"/>
      </w:pPr>
      <w:r>
        <w:t>（二）建议同步修订的中风险问题</w:t>
      </w:r>
    </w:p>
    <w:p>
      <w:pPr>
        <w:pStyle w:val="ListBullet"/>
      </w:pPr>
      <w:r>
        <w:t>（二）合同框架-检查要点2.1：在合同首部“联系人”条款下方增设“主要项目负责人”字段，强制填写姓名、身份证号码及本人手机号</w:t>
      </w:r>
    </w:p>
    <w:p>
      <w:pPr>
        <w:pStyle w:val="ListBullet"/>
      </w:pPr>
      <w:r>
        <w:t>（二）合同框架-检查要点2.5：在附件一“四、协议期限”中明确定义“年”“月”“季度”的计算方式，统一采用自然年/自然月/自然季度标准</w:t>
      </w:r>
    </w:p>
    <w:p>
      <w:pPr>
        <w:pStyle w:val="ListBullet"/>
      </w:pPr>
      <w:r>
        <w:t>（三）其他基本问题-检查要点3.3：修订合同首部引言段，删除“投标承诺”表述，改为援引《中标通知书》作为签约依据</w:t>
      </w:r>
    </w:p>
    <w:p>
      <w:pPr>
        <w:pStyle w:val="ListBullet"/>
      </w:pPr>
      <w:r>
        <w:t>（三）其他基本问题-检查要点3.4与3.5：统一乙方全称括号格式（全部使用半角括号）；在签署栏上方添加“以下为合同签署栏”分隔标识</w:t>
      </w:r>
    </w:p>
    <w:p>
      <w:pPr>
        <w:pStyle w:val="Heading3"/>
      </w:pPr>
      <w:r>
        <w:t>（三）可后续验证的低风险问题</w:t>
      </w:r>
    </w:p>
    <w:p>
      <w:pPr>
        <w:pStyle w:val="ListBullet"/>
      </w:pPr>
      <w:r>
        <w:t>无。</w:t>
      </w:r>
    </w:p>
    <w:p>
      <w:r>
        <w:t>&gt; **说明**：检查要点1.1虽被评定为“低风险”，但其审查结论明确为“不构成实质性法律风险”，属合规情形，依法无需修订，故本节不列示任何问题。</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1.1.1 | 通过工商数据比对该签约主体是否存在重大涉法涉诉事项； | ✅ |</w:t>
      </w:r>
    </w:p>
    <w:p>
      <w:r>
        <w:t>| **1.2** | **核对经营范围，合同标的是否在经营范围之内；** | **✅** |</w:t>
      </w:r>
    </w:p>
    <w:p>
      <w:r>
        <w:t>| 1.2.1 | 核对经营范围，合同标的是否在经营范围之内； | ✅ |</w:t>
      </w:r>
    </w:p>
    <w:p>
      <w:r>
        <w:t>| **1.3** | **合同提供信息是否齐全，是否与工商登记一致，包括联系地址、联系电话、传真、法定代表人或负责人、联系人等信息；** | **✅** |</w:t>
      </w:r>
    </w:p>
    <w:p>
      <w:r>
        <w:t>| 1.3.1 | 合同提供信息是否齐全，是否与工商登记一致，包括联系地址、联系电话、传真、法定代表人或负责人、联系人等信息； | ✅ |</w:t>
      </w:r>
    </w:p>
    <w:p>
      <w:r>
        <w:t>| **1.4** | **购买软件等产品，是否有核心知识产权；** | **✅** |</w:t>
      </w:r>
    </w:p>
    <w:p>
      <w:r>
        <w:t>| 1.4.1 | 购买软件等产品，是否有核心知识产权； | ✅ |</w:t>
      </w:r>
    </w:p>
    <w:p>
      <w:r>
        <w:t>| **—** | **【（二）合同框架】** | **—** |</w:t>
      </w:r>
    </w:p>
    <w:p>
      <w:r>
        <w:t>| **2.1** | **合同主要项目负责人是否确定、是否预留姓名、身份证号码及电话号码** | **✅** |</w:t>
      </w:r>
    </w:p>
    <w:p>
      <w:r>
        <w:t>| 2.1.1 | 合同主要项目负责人是否确定、是否预留姓名、身份证号码及电话号码 | ✅ |</w:t>
      </w:r>
    </w:p>
    <w:p>
      <w:r>
        <w:t>| **2.2** | **采购内容：品种、规格、型号、等级、花色等应具体注明，必要时可通过附件说明标的物的实际情况。** | **✅** |</w:t>
      </w:r>
    </w:p>
    <w:p>
      <w:r>
        <w:t>| 2.2.1 | 采购内容：品种、规格、型号、等级、花色等应具体注明，必要时可通过附件说明标的物的实际情况。 | ✅ |</w:t>
      </w:r>
    </w:p>
    <w:p>
      <w:r>
        <w:t>| **2.3** | **合同金额：数量、价款要明确，包括数额的计量单位，同时写明标的物的单价、总价，币种等。** | **✅** |</w:t>
      </w:r>
    </w:p>
    <w:p>
      <w:r>
        <w:t>| 2.3.1 | 合同金额：数量、价款要明确，包括数额的计量单位，同时写明标的物的单价、总价，币种等。 | ✅ |</w:t>
      </w:r>
    </w:p>
    <w:p>
      <w:r>
        <w:t>| **2.4** | **付款计划：要有明确节点确认付款，应预留一部分金额待免费维保期结束后支付，且明确发票类型** | **✅** |</w:t>
      </w:r>
    </w:p>
    <w:p>
      <w:r>
        <w:t>| 2.4.1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2.5.1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3.1.1 | 是否有错别字、是否标题顺序杂乱、是否付款计划所有总和与合同总金额不一致，合同金额大小写不一致、语句语病 | ✅ |</w:t>
      </w:r>
    </w:p>
    <w:p>
      <w:r>
        <w:t>| **3.2** | **校验相同条款在正文与附件中约定是否一致** | **✅** |</w:t>
      </w:r>
    </w:p>
    <w:p>
      <w:r>
        <w:t>| 3.2.1 | 校验相同条款在正文与附件中约定是否一致 | ✅ |</w:t>
      </w:r>
    </w:p>
    <w:p>
      <w:r>
        <w:t>| **3.3** | **校验是否出现招标单位、谈判单位等其他流程中相关用语** | **✅** |</w:t>
      </w:r>
    </w:p>
    <w:p>
      <w:r>
        <w:t>| 3.3.1 | 校验是否出现招标单位、谈判单位等其他流程中相关用语 | ✅ |</w:t>
      </w:r>
    </w:p>
    <w:p>
      <w:r>
        <w:t>| **3.4** | **合同主体名称和签订主体名称首尾须保持一致** | **✅** |</w:t>
      </w:r>
    </w:p>
    <w:p>
      <w:r>
        <w:t>| 3.4.1 | 合同主体名称和签订主体名称首尾须保持一致 | ✅ |</w:t>
      </w:r>
    </w:p>
    <w:p>
      <w:r>
        <w:t>| **3.5** | **援引法律校验是否有效** | **✅** |</w:t>
      </w:r>
    </w:p>
    <w:p>
      <w:r>
        <w:t>| 3.5.1 | 援引法律校验是否有效 | ✅ |</w:t>
      </w:r>
    </w:p>
    <w:p>
      <w:r>
        <w:t>| **3.6** | **正文最后，写上“以下为合同签署栏/以下无正文”的内容** | **✅** |</w:t>
      </w:r>
    </w:p>
    <w:p>
      <w:r>
        <w:t>| 3.6.1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849,477 |</w:t>
      </w:r>
    </w:p>
    <w:p>
      <w:r>
        <w:t>| 汇总（Summarizer） | 41,404 |</w:t>
      </w:r>
    </w:p>
    <w:p>
      <w:r>
        <w:t>| **合计** | **893,127**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