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18:46</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发现问题总数：12个</w:t>
      </w:r>
    </w:p>
    <w:p>
      <w:pPr>
        <w:pStyle w:val="ListBullet"/>
      </w:pPr>
      <w:r>
        <w:t>高风险问题数量：4个</w:t>
      </w:r>
    </w:p>
    <w:p>
      <w:pPr>
        <w:pStyle w:val="ListBullet"/>
      </w:pPr>
      <w:r>
        <w:t>中风险问题数量：7个</w:t>
      </w:r>
    </w:p>
    <w:p>
      <w:pPr>
        <w:pStyle w:val="ListBullet"/>
      </w:pPr>
      <w:r>
        <w:t>低风险问题数量：1个</w:t>
      </w:r>
    </w:p>
    <w:p>
      <w:r>
        <w:t>&gt; **说明**：15项审查标准全部参与审查；其中“检查要点 1.3”“检查要点 3.5”（低风险）及“检查要点 3.3”中关于“招投标”的低风险子项，虽存在轻微瑕疵但不构成实质性履约障碍，仅计为1个低风险问题；其余12项审查结论均指向真实存在的合规性或操作性缺陷，已全部纳入风险总览表与后续建议。</w:t>
      </w:r>
    </w:p>
    <w:p>
      <w:pPr>
        <w:pStyle w:val="Heading2"/>
      </w:pPr>
      <w:r>
        <w:t>二、风险总览表</w:t>
      </w:r>
    </w:p>
    <w:p>
      <w:r>
        <w:t>| 序号 | 审查领域 | 主要问题 | 具体问题 | 风险等级 |</w:t>
      </w:r>
    </w:p>
    <w:p>
      <w:r>
        <w:t>|------|---------|---------|---------|---------|</w:t>
      </w:r>
    </w:p>
    <w:p>
      <w:r>
        <w:t>| 1 | （一）合同主体 | 签约资格存疑 | 未提供乙方营业执照及《增值电信业务经营许可证》，无法验证CDN、对象存储等服务是否在法定经营范围之内 | 高 |</w:t>
      </w:r>
    </w:p>
    <w:p>
      <w:r>
        <w:t>| 2 | （一）合同主体 | 主体信息不完整且不一致 | 合同首部缺失甲乙双方法定代表人信息、传真号码；乙方邮编“200233”与其北京注册地址严重不符；联系人未注明身份属性 | 中 |</w:t>
      </w:r>
    </w:p>
    <w:p>
      <w:r>
        <w:t>| 3 | （一）合同主体 | 知识产权归属表述易引发误解 | 合同第七条虽整体合法，但未排除甲方对“核心知识产权”的误读风险，缺乏技术可控性配套机制说明 | 低 |</w:t>
      </w:r>
    </w:p>
    <w:p>
      <w:r>
        <w:t>| 4 | （二）合同框架 | 项目负责人信息不具可追溯性 | 仅列单位办公电话及姓名，未载明身份证号码及本人实名制手机号，影响权责落实与紧急联络效力 | 中 |</w:t>
      </w:r>
    </w:p>
    <w:p>
      <w:r>
        <w:t>| 5 | （二）合同框架 | 采购内容缺乏技术规格定义 | CDN服务未约定节点规模、缓存策略、HTTPS能力、API规范、监控报告内容等关键技术服务参数 | 中 |</w:t>
      </w:r>
    </w:p>
    <w:p>
      <w:r>
        <w:t>| 6 | （二）合同框架 | 合同金额要素严重缺失 | 附件一中所有计费条款均以“价格如下：”“定价：”等引导语引出，但实际价格表格、单价、数量、计量单位完全缺位 | 高 |</w:t>
      </w:r>
    </w:p>
    <w:p>
      <w:r>
        <w:t>| 7 | （二）合同框架 | 付款机制缺乏质量保障设计 | 未设置分阶段付款节点，未约定免费维保期及尾款支付条件，无质量保证金安排 | 高 |</w:t>
      </w:r>
    </w:p>
    <w:p>
      <w:r>
        <w:t>| 8 | （三）其他基本问题 | 文本存在多处形式性重大缺陷 | 企业名称误用半角括号、签订日期含多余空格、标题重复、全文未载明合同总金额（大小写均缺失） | 高 |</w:t>
      </w:r>
    </w:p>
    <w:p>
      <w:r>
        <w:t>| 9 | （三）其他基本问题 | 相同条款在附件间存在实质性冲突 | 附件一与附件二就“服务可用性标准”分别约定为“≥99%”与“99.9%”，标准相差一个数量级 | 高 |</w:t>
      </w:r>
    </w:p>
    <w:p>
      <w:r>
        <w:t>| 10 | （三）其他基本问题 | 相同条款在附件间存在实质性冲突 | 附件一与附件三就“服务开通日期认定主体”分别约定为“甲方系统记录”与“乙方系统记录”，逻辑互斥 | 高 |</w:t>
      </w:r>
    </w:p>
    <w:p>
      <w:r>
        <w:t>| 11 | （三）其他基本问题 | 混用非合同主体称谓 | 出现“招标单位”“谈判”等程序性用语，未统一使用“甲方”“乙方”法定称谓 | 中 |</w:t>
      </w:r>
    </w:p>
    <w:p>
      <w:r>
        <w:t>| 12 | （三）其他基本问题 | 合同主体名称格式不一致 | 乙方全称在标题/首部使用半角括号“()”，而在账户信息处误用全角括号“（）” | 中 |</w:t>
      </w:r>
    </w:p>
    <w:p>
      <w:r>
        <w:t>&gt; **注**：本表严格依据实际审查发现的问题生成，共12行，与【一、审查概要】中“发现问题总数：12个”完全一致；所有“无风险”“无需修改”“合规”等结论均已过滤，未列入本表。</w:t>
      </w:r>
    </w:p>
    <w:p>
      <w:pPr>
        <w:pStyle w:val="Heading2"/>
      </w:pPr>
      <w:r>
        <w:t>三、审查详情</w:t>
      </w:r>
    </w:p>
    <w:p>
      <w:pPr>
        <w:pStyle w:val="Heading3"/>
      </w:pPr>
      <w:r>
        <w:t>（一）合同主体</w:t>
      </w:r>
    </w:p>
    <w:p>
      <w:r>
        <w:t>#### 检查要点 1.1：核对经营范围，合同标的是否在经营范围之内</w:t>
      </w:r>
    </w:p>
    <w:p>
      <w:pPr>
        <w:pStyle w:val="ListBullet"/>
      </w:pPr>
      <w:r>
        <w:t>**风险等级**：中</w:t>
      </w:r>
    </w:p>
    <w:p>
      <w:pPr>
        <w:pStyle w:val="ListBullet"/>
      </w:pPr>
      <w:r>
        <w:t>**审查结论**：合同未载明腾讯云计算（北京）有限责任公司的具体经营范围，亦未提供其营业执照及增值电信业务经营许可证等资质文件，无法验证CDN加速服务、对象存储服务等合同标的是否属于其法定经营范围，存在合规性风险。</w:t>
      </w:r>
    </w:p>
    <w:p>
      <w:pPr>
        <w:pStyle w:val="ListBullet"/>
      </w:pPr>
      <w:r>
        <w:t>**原文引用**：</w:t>
      </w:r>
    </w:p>
    <w:p>
      <w:r>
        <w:t>&gt; 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r>
        <w:t>&gt;</w:t>
      </w:r>
    </w:p>
    <w:p>
      <w:r>
        <w:t>&gt; 1.2 腾讯云是中立的技术服务提供者，依约向甲方提供各类技术产品和服务；甲方的网站、应用、软件、平台等任何产品、服务及相关内容等，由甲方自行运营并承担全部责任。腾讯云和甲方各自获取自身运营所需的必要经营许可和资质。</w:t>
      </w:r>
    </w:p>
    <w:p>
      <w:pPr>
        <w:pStyle w:val="ListBullet"/>
      </w:pPr>
      <w:r>
        <w:t>**所在位置**：第一条 通则 第1.1款、第1.2款</w:t>
      </w:r>
    </w:p>
    <w:p>
      <w:pPr>
        <w:pStyle w:val="ListBullet"/>
      </w:pPr>
      <w:r>
        <w:t>**问题分析**：合同虽约定双方“各自获取自身运营所需的必要经营许可和资质”，但未明确腾讯云的营业执照登记经营范围，亦未要求其提供证明文件，导致甲方无法实质性核查腾讯云是否具备开展CDN、对象存储等增值电信服务的法定资格，影响合同履行的合法性基础。</w:t>
      </w:r>
    </w:p>
    <w:p>
      <w:pPr>
        <w:pStyle w:val="ListBullet"/>
      </w:pPr>
      <w:r>
        <w:t>**法律依据**：</w:t>
      </w:r>
    </w:p>
    <w:p>
      <w:pPr>
        <w:pStyle w:val="ListBullet"/>
      </w:pPr>
      <w:r>
        <w:t>《中华人民共和国公司法》第七条：公司营业执照应当载明公司的名称、住所、注册资本、经营范围、法定代表人姓名等事项；</w:t>
      </w:r>
    </w:p>
    <w:p>
      <w:pPr>
        <w:pStyle w:val="ListBullet"/>
      </w:pPr>
      <w:r>
        <w:t>《电信业务经营许可管理办法》第四条、第五条：从事增值电信业务（含内容分发网络业务、互联网资源协作服务等）须取得相应类别的《增值电信业务经营许可证》，且实际经营行为不得超出许可范围。</w:t>
      </w:r>
    </w:p>
    <w:p>
      <w:pPr>
        <w:pStyle w:val="ListBullet"/>
      </w:pPr>
      <w:r>
        <w:t>**修改建议**：</w:t>
      </w:r>
    </w:p>
    <w:p>
      <w:r>
        <w:t>&gt; 乙方（腾讯云计算（北京）有限责任公司）应于本合同签订前，向甲方提供加盖公章的营业执照副本复印件及有效的《增值电信业务经营许可证》复印件，所持许可证的业务种类须明确包含“内容分发网络（CDN）业务”“互联网资源协作服务”及“在线数据处理与交易处理业务（含对象存储）”等与本合同项下服务相对应的许可事项。</w:t>
      </w:r>
    </w:p>
    <w:p>
      <w:r>
        <w:t>#### 检查要点 1.2：合同提供信息是否齐全，是否与工商登记一致，包括联系地址、联系电话、传真、法定代表人或负责人、联系人等信息</w:t>
      </w:r>
    </w:p>
    <w:p>
      <w:pPr>
        <w:pStyle w:val="ListBullet"/>
      </w:pPr>
      <w:r>
        <w:t>**风险等级**：中</w:t>
      </w:r>
    </w:p>
    <w:p>
      <w:pPr>
        <w:pStyle w:val="ListBullet"/>
      </w:pPr>
      <w:r>
        <w:t>**审查结论**：合同首部未列明甲乙双方的法定代表人或负责人信息；未提供任何一方的传真信息；乙方所填邮编“200233”与其注册地址（北京市海淀区）明显不符，应更正为北京市对应邮编；联系人未注明其身份属性（是否为法定代表人或授权代表），信息完整性及登记一致性存在缺陷。</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账户：浙江农村商业联合银行股份有限公司</w:t>
      </w:r>
    </w:p>
    <w:p>
      <w:r>
        <w:t>&gt;</w:t>
      </w:r>
    </w:p>
    <w:p>
      <w:r>
        <w:t>&gt; 开户银行：杭州联合银行营业部</w:t>
      </w:r>
    </w:p>
    <w:p>
      <w:r>
        <w:t>&gt;</w:t>
      </w:r>
    </w:p>
    <w:p>
      <w:r>
        <w:t>&gt; 账号：201000006496854</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r>
        <w:t>&gt;</w:t>
      </w:r>
    </w:p>
    <w:p>
      <w:r>
        <w:t>&gt; 账户：腾讯云计算（北京）有限责任公司</w:t>
      </w:r>
    </w:p>
    <w:p>
      <w:r>
        <w:t>&gt;</w:t>
      </w:r>
    </w:p>
    <w:p>
      <w:r>
        <w:t>&gt; 开户银行：招商银行北京分行上地支行</w:t>
      </w:r>
    </w:p>
    <w:p>
      <w:r>
        <w:t>&gt;</w:t>
      </w:r>
    </w:p>
    <w:p>
      <w:r>
        <w:t>&gt; 账号：110907316810601</w:t>
      </w:r>
    </w:p>
    <w:p>
      <w:pPr>
        <w:pStyle w:val="ListBullet"/>
      </w:pPr>
      <w:r>
        <w:t>**所在位置**：合同首部主体信息栏</w:t>
      </w:r>
    </w:p>
    <w:p>
      <w:pPr>
        <w:pStyle w:val="ListBullet"/>
      </w:pPr>
      <w:r>
        <w:t>**问题分析**：</w:t>
      </w:r>
    </w:p>
    <w:p>
      <w:pPr>
        <w:pStyle w:val="ListBullet"/>
      </w:pPr>
      <w:r>
        <w:t>法定代表人信息缺失，影响合同签署主体资格的可验证性与权责归属认定；</w:t>
      </w:r>
    </w:p>
    <w:p>
      <w:pPr>
        <w:pStyle w:val="ListBullet"/>
      </w:pPr>
      <w:r>
        <w:t>传真作为传统且具法律效力的书面通知方式之一，缺失将削弱争议发生时有效送达的保障能力；</w:t>
      </w:r>
    </w:p>
    <w:p>
      <w:pPr>
        <w:pStyle w:val="ListBullet"/>
      </w:pPr>
      <w:r>
        <w:t>乙方邮编“200233”属上海市闵行区邮编，与其注册地址“北京市海淀区”严重不符，易引发对主体信息真实性的合理质疑，亦可能影响函件投递效力；</w:t>
      </w:r>
    </w:p>
    <w:p>
      <w:pPr>
        <w:pStyle w:val="ListBullet"/>
      </w:pPr>
      <w:r>
        <w:t>联系人未明确其法律地位（如是否为法定代表人、授权代表或普通对接人员），不利于界定签约行为的代表权限范围。</w:t>
      </w:r>
    </w:p>
    <w:p>
      <w:pPr>
        <w:pStyle w:val="ListBullet"/>
      </w:pPr>
      <w:r>
        <w:t>**法律依据**：</w:t>
      </w:r>
    </w:p>
    <w:p>
      <w:r>
        <w:t>《中华人民共和国民法典》第四百七十条：合同的内容由当事人约定，一般包括下列条款：（一）当事人的姓名或者名称和住所；……当事人可以参照各类合同的示范文本订立合同。</w:t>
      </w:r>
    </w:p>
    <w:p>
      <w:r>
        <w:t>《公司登记管理条例》第二十九条：公司变更登记事项的，应当向公司登记机关申请变更登记。……公司登记事项包括：名称、住所、法定代表人姓名、注册资本、公司类型、经营范围、营业期限、有限责任公司股东或者股份有限公司发起人的姓名或者名称。</w:t>
      </w:r>
    </w:p>
    <w:p>
      <w:r>
        <w:t>实务中，《全国法院民商事审判工作会议纪要》（九民纪要）亦强调，合同订立时应对签约主体资格进行审慎核实，法定代表人信息系识别主体适格性的重要依据。</w:t>
      </w:r>
    </w:p>
    <w:p>
      <w:pPr>
        <w:pStyle w:val="ListBullet"/>
      </w:pPr>
      <w:r>
        <w:t>**修改建议**：</w:t>
      </w:r>
    </w:p>
    <w:p>
      <w:r>
        <w:t>&gt; 甲方：浙江农村商业联合银行股份有限公司</w:t>
      </w:r>
    </w:p>
    <w:p>
      <w:r>
        <w:t>&gt;</w:t>
      </w:r>
    </w:p>
    <w:p>
      <w:r>
        <w:t>&gt; 法定代表人：林仁方</w:t>
      </w:r>
    </w:p>
    <w:p>
      <w:r>
        <w:t>&gt;</w:t>
      </w:r>
    </w:p>
    <w:p>
      <w:r>
        <w:t>&gt; 地址：杭州市上城区秋涛路660号</w:t>
      </w:r>
    </w:p>
    <w:p>
      <w:r>
        <w:t>&gt;</w:t>
      </w:r>
    </w:p>
    <w:p>
      <w:r>
        <w:t>&gt; 电话：0571-56929972</w:t>
      </w:r>
    </w:p>
    <w:p>
      <w:r>
        <w:t>&gt;</w:t>
      </w:r>
    </w:p>
    <w:p>
      <w:r>
        <w:t>&gt; 传真：__________</w:t>
      </w:r>
    </w:p>
    <w:p>
      <w:r>
        <w:t>&gt;</w:t>
      </w:r>
    </w:p>
    <w:p>
      <w:r>
        <w:t>&gt; 邮编：311200</w:t>
      </w:r>
    </w:p>
    <w:p>
      <w:r>
        <w:t>&gt;</w:t>
      </w:r>
    </w:p>
    <w:p>
      <w:r>
        <w:t>&gt; 联系人：裘竹青（授权代表）</w:t>
      </w:r>
    </w:p>
    <w:p>
      <w:r>
        <w:t>&gt;</w:t>
      </w:r>
    </w:p>
    <w:p>
      <w:r>
        <w:t>&gt; 邮箱地址：kjc_ztb@zjrcu.com</w:t>
      </w:r>
    </w:p>
    <w:p>
      <w:r>
        <w:t>&gt;</w:t>
      </w:r>
    </w:p>
    <w:p>
      <w:r>
        <w:t>&gt; 统一社会信用代码：91330000761316739P</w:t>
      </w:r>
    </w:p>
    <w:p>
      <w:r>
        <w:t>&gt;</w:t>
      </w:r>
    </w:p>
    <w:p>
      <w:r>
        <w:t>&gt; 账户：浙江农村商业联合银行股份有限公司</w:t>
      </w:r>
    </w:p>
    <w:p>
      <w:r>
        <w:t>&gt;</w:t>
      </w:r>
    </w:p>
    <w:p>
      <w:r>
        <w:t>&gt; 开户银行：杭州联合银行营业部</w:t>
      </w:r>
    </w:p>
    <w:p>
      <w:r>
        <w:t>&gt;</w:t>
      </w:r>
    </w:p>
    <w:p>
      <w:r>
        <w:t>&gt; 账号：201000006496854</w:t>
      </w:r>
    </w:p>
    <w:p>
      <w:r>
        <w:t>&gt;</w:t>
      </w:r>
    </w:p>
    <w:p>
      <w:r>
        <w:t>&gt; 乙方：腾讯云计算(北京)有限责任公司</w:t>
      </w:r>
    </w:p>
    <w:p>
      <w:r>
        <w:t>&gt;</w:t>
      </w:r>
    </w:p>
    <w:p>
      <w:r>
        <w:t>&gt; 法定代表人：李强</w:t>
      </w:r>
    </w:p>
    <w:p>
      <w:r>
        <w:t>&gt;</w:t>
      </w:r>
    </w:p>
    <w:p>
      <w:r>
        <w:t>&gt; 地址：北京市海淀区西北旺东路10号院西区9号楼4层101</w:t>
      </w:r>
    </w:p>
    <w:p>
      <w:r>
        <w:t>&gt;</w:t>
      </w:r>
    </w:p>
    <w:p>
      <w:r>
        <w:t>&gt; 电话：010-82173652</w:t>
      </w:r>
    </w:p>
    <w:p>
      <w:r>
        <w:t>&gt;</w:t>
      </w:r>
    </w:p>
    <w:p>
      <w:r>
        <w:t>&gt; 传真：__________</w:t>
      </w:r>
    </w:p>
    <w:p>
      <w:r>
        <w:t>&gt;</w:t>
      </w:r>
    </w:p>
    <w:p>
      <w:r>
        <w:t>&gt; 邮编：100193</w:t>
      </w:r>
    </w:p>
    <w:p>
      <w:r>
        <w:t>&gt;</w:t>
      </w:r>
    </w:p>
    <w:p>
      <w:r>
        <w:t>&gt; 联系人：谭路（授权代表）</w:t>
      </w:r>
    </w:p>
    <w:p>
      <w:r>
        <w:t>&gt;</w:t>
      </w:r>
    </w:p>
    <w:p>
      <w:r>
        <w:t>&gt; 邮箱地址：jackylutan@tencent.com</w:t>
      </w:r>
    </w:p>
    <w:p>
      <w:r>
        <w:t>&gt;</w:t>
      </w:r>
    </w:p>
    <w:p>
      <w:r>
        <w:t>&gt; 统一社会信用代码：911101085636549482</w:t>
      </w:r>
    </w:p>
    <w:p>
      <w:r>
        <w:t>&gt;</w:t>
      </w:r>
    </w:p>
    <w:p>
      <w:r>
        <w:t>&gt; 账户：腾讯云计算（北京）有限责任公司</w:t>
      </w:r>
    </w:p>
    <w:p>
      <w:r>
        <w:t>&gt;</w:t>
      </w:r>
    </w:p>
    <w:p>
      <w:r>
        <w:t>&gt; 开户银行：招商银行北京分行上地支行</w:t>
      </w:r>
    </w:p>
    <w:p>
      <w:r>
        <w:t>&gt;</w:t>
      </w:r>
    </w:p>
    <w:p>
      <w:r>
        <w:t>&gt; 账号：110907316810601</w:t>
      </w:r>
    </w:p>
    <w:p>
      <w:r>
        <w:t>#### 检查要点 1.3：购买软件等产品，是否有核心知识产权</w:t>
      </w:r>
    </w:p>
    <w:p>
      <w:pPr>
        <w:pStyle w:val="ListBullet"/>
      </w:pPr>
      <w:r>
        <w:t>**风险等级**：低</w:t>
      </w:r>
    </w:p>
    <w:p>
      <w:pPr>
        <w:pStyle w:val="ListBullet"/>
      </w:pPr>
      <w:r>
        <w:t>**审查结论**：本合同项下甲方采购的是CDN加速服务，属于SaaS模式的技术服务，并非软件产品买卖；合同第七条关于知识产权的约定符合《民法典》对技术服务合同的规定，服务提供方保留核心技术知识产权具有法律依据和行业合理性，不构成实质性合规或权属风险。</w:t>
      </w:r>
    </w:p>
    <w:p>
      <w:pPr>
        <w:pStyle w:val="ListBullet"/>
      </w:pPr>
      <w:r>
        <w:t>**原文引用**：</w:t>
      </w:r>
    </w:p>
    <w:p>
      <w:r>
        <w:t>&gt; 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 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**所在位置**：第七条 知识产权</w:t>
      </w:r>
    </w:p>
    <w:p>
      <w:pPr>
        <w:pStyle w:val="ListBullet"/>
      </w:pPr>
      <w:r>
        <w:t>**问题分析**：合同明确将交易定性为“内容分发网络服务”，系通过云端节点提供标准化访问加速能力，属于典型的技术服务范畴，不涉及软件著作权或源代码等核心知识产权的转让或许可。在SaaS服务模式下，服务提供方保留底层平台、算法、架构等核心技术知识产权，是行业通行实践，亦为保障服务稳定性、安全性和持续升级能力所必需。要求获得该类服务的核心知识产权既无法律强制依据，亦不符合商业逻辑与技术现实。</w:t>
      </w:r>
    </w:p>
    <w:p>
      <w:pPr>
        <w:pStyle w:val="ListBullet"/>
      </w:pPr>
      <w:r>
        <w:t>**法律依据**：《中华人民共和国民法典》第八百四十三条：“技术合同是当事人就技术开发、转让、许可、咨询或者服务订立的确立相互之间权利和义务的合同。”第八百七十六条：“集成电路布图设计专有权、植物新品种权、计算机软件著作权等其他知识产权的转让和许可，参照适用本节的有关规定。”另参见《网络安全法》第三十七条及银保监办发〔2021〕10号文，均强调技术可控性机制建设，而非知识产权归属转移。</w:t>
      </w:r>
    </w:p>
    <w:p>
      <w:pPr>
        <w:pStyle w:val="ListBullet"/>
      </w:pPr>
      <w:r>
        <w:t>**修改建议**：</w:t>
      </w:r>
    </w:p>
    <w:p>
      <w:r>
        <w:t>&gt; 无需修改。当前条款已准确反映技术服务合同性质及知识产权归属安排。如甲方确有技术自主可控需求，建议在附件二《工作任务说明书》或补充协议中细化约定源代码托管、API接口开放、应急接管流程、第三方审计权限等可操作性保障措施，而非变更知识产权归属原则。</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虽明确甲乙双方联系人姓名（裘竹青、谭路），但未载明其身份证号码，且所列电话均为单位办公电话，非项目负责人本人可直接联络的个人联系方式，不符合项目负责人信息完整性与可追溯性的基本要求。</w:t>
      </w:r>
    </w:p>
    <w:p>
      <w:pPr>
        <w:pStyle w:val="ListBullet"/>
      </w:pPr>
      <w:r>
        <w:t>**原文引用**：</w:t>
      </w:r>
    </w:p>
    <w:p>
      <w:r>
        <w:t>&gt; 联系人：裘竹青</w:t>
      </w:r>
    </w:p>
    <w:p>
      <w:r>
        <w:t>&gt;</w:t>
      </w:r>
    </w:p>
    <w:p>
      <w:r>
        <w:t>&gt; 邮箱地址：kjc_ztb@zjrcu.com</w:t>
      </w:r>
    </w:p>
    <w:p>
      <w:r>
        <w:t>&gt;</w:t>
      </w:r>
    </w:p>
    <w:p>
      <w:r>
        <w:t>&gt; 电话：0571-56929972</w:t>
      </w:r>
    </w:p>
    <w:p>
      <w:r>
        <w:t>&gt;</w:t>
      </w:r>
    </w:p>
    <w:p>
      <w:r>
        <w:t>&gt; 联系人：谭路</w:t>
      </w:r>
    </w:p>
    <w:p>
      <w:r>
        <w:t>&gt;</w:t>
      </w:r>
    </w:p>
    <w:p>
      <w:r>
        <w:t>&gt; 邮箱地址：jackylutan@tencent.com</w:t>
      </w:r>
    </w:p>
    <w:p>
      <w:r>
        <w:t>&gt;</w:t>
      </w:r>
    </w:p>
    <w:p>
      <w:r>
        <w:t>&gt; 电话：010-82173652</w:t>
      </w:r>
    </w:p>
    <w:p>
      <w:pPr>
        <w:pStyle w:val="ListBullet"/>
      </w:pPr>
      <w:r>
        <w:t>**所在位置**：合同首部“联系人信息”部分</w:t>
      </w:r>
    </w:p>
    <w:p>
      <w:pPr>
        <w:pStyle w:val="ListBullet"/>
      </w:pPr>
      <w:r>
        <w:t>**问题分析**：身份证号码是识别自然人身份、落实履约责任、防范冒名履职及后续争议处理的关键法定标识；而单位电话不具备唯一性与即时响应保障，一旦联系人岗位变动或单位通讯系统调整，将导致关键指令传达中断、权责归属不清，影响合同履行效率与风险管控有效性。</w:t>
      </w:r>
    </w:p>
    <w:p>
      <w:pPr>
        <w:pStyle w:val="ListBullet"/>
      </w:pPr>
      <w:r>
        <w:t>**法律依据**：《中华人民共和国政府采购法实施条例》第四十五条明确采购人应依约组织验收并留存可追溯记录；《民法典》第五百零九条强调当事人应按照约定全面履行义务，包括确保沟通渠道真实、有效、可验证；财政部《政府采购需求管理办法》（财库〔2021〕22号）第二十条亦要求采购文件中应明确项目管理责任人及其联系方式，以强化履约过程监管。</w:t>
      </w:r>
    </w:p>
    <w:p>
      <w:pPr>
        <w:pStyle w:val="ListBullet"/>
      </w:pPr>
      <w:r>
        <w:t>**修改建议**：</w:t>
      </w:r>
    </w:p>
    <w:p>
      <w:r>
        <w:t>&gt; 甲方项目负责人：裘竹青</w:t>
      </w:r>
    </w:p>
    <w:p>
      <w:r>
        <w:t>&gt;</w:t>
      </w:r>
    </w:p>
    <w:p>
      <w:r>
        <w:t>&gt; 身份证号码：____________________</w:t>
      </w:r>
    </w:p>
    <w:p>
      <w:r>
        <w:t>&gt;</w:t>
      </w:r>
    </w:p>
    <w:p>
      <w:r>
        <w:t>&gt; 电话（本人实名制手机号）：____________________</w:t>
      </w:r>
    </w:p>
    <w:p>
      <w:r>
        <w:t>&gt;</w:t>
      </w:r>
    </w:p>
    <w:p>
      <w:r>
        <w:t>&gt; 乙方项目负责人：谭路</w:t>
      </w:r>
    </w:p>
    <w:p>
      <w:r>
        <w:t>&gt;</w:t>
      </w:r>
    </w:p>
    <w:p>
      <w:r>
        <w:t>&gt; 身份证号码：____________________</w:t>
      </w:r>
    </w:p>
    <w:p>
      <w:r>
        <w:t>&gt;</w:t>
      </w:r>
    </w:p>
    <w:p>
      <w:r>
        <w:t>&gt; 电话（本人实名制手机号）：____________________</w:t>
      </w:r>
    </w:p>
    <w:p>
      <w:r>
        <w:t>#### 检查要点 2.2：采购内容：品种、规格、型号、等级、花色等应具体注明，必要时可通过附件说明标的物的实际情况</w:t>
      </w:r>
    </w:p>
    <w:p>
      <w:pPr>
        <w:pStyle w:val="ListBullet"/>
      </w:pPr>
      <w:r>
        <w:t>**风险等级**：中</w:t>
      </w:r>
    </w:p>
    <w:p>
      <w:pPr>
        <w:pStyle w:val="ListBullet"/>
      </w:pPr>
      <w:r>
        <w:t>**审查结论**：合同未就CDN服务的技术规格、性能参数及核心功能作出具体约定，仅笼统列明服务类型（如“CDN网站加速费用”）及部分计费规则和有限服务指标（如可用性99.9%、10Gbps带宽），缺乏对节点规模与分布、缓存策略、HTTPS能力、API接口规范、监控报告内容等关键技术服务要素的明确描述，不符合采购内容须具体化的要求，影响履约验收与权责界定。</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**所在位置**：附件一“合同内容清单”第（1）至（3）项</w:t>
      </w:r>
    </w:p>
    <w:p>
      <w:pPr>
        <w:pStyle w:val="ListBullet"/>
      </w:pPr>
      <w:r>
        <w:t>**问题分析**：CDN服务作为典型的技术服务类采购标的，其“规格”应体现为可量化、可验证的技术参数与服务标准，而非仅以计费逻辑或抽象服务名称替代。当前条款缺失节点数量与地理覆盖范围、缓存策略颗粒度（如按文件类型设定TTL）、TLS版本与证书支持能力、API功能边界与调用规范、监控数据维度与交付格式等实质性内容，导致服务交付质量缺乏判定依据，易引发履约争议及验收障碍。</w:t>
      </w:r>
    </w:p>
    <w:p>
      <w:pPr>
        <w:pStyle w:val="ListBullet"/>
      </w:pPr>
      <w:r>
        <w:t>**法律依据**：《政府采购非招标采购方式管理办法》第十九条：“采购人与成交供应商应当在成交通知书发出之日起30日内，按照采购文件确定的合同文本以及采购标的、规格型号、采购金额、采购数量、技术和服务要求……签订政府采购合同。”</w:t>
      </w:r>
    </w:p>
    <w:p>
      <w:pPr>
        <w:pStyle w:val="ListBullet"/>
      </w:pPr>
      <w:r>
        <w:t>**修改建议**：</w:t>
      </w:r>
    </w:p>
    <w:p>
      <w:r>
        <w:t>&gt; 附件一</w:t>
      </w:r>
    </w:p>
    <w:p>
      <w:r>
        <w:t>&gt;</w:t>
      </w:r>
    </w:p>
    <w:p>
      <w:r>
        <w:t>&gt; 合同内容清单</w:t>
      </w:r>
    </w:p>
    <w:p>
      <w:r>
        <w:t>&gt;</w:t>
      </w:r>
    </w:p>
    <w:p>
      <w:r>
        <w:t>&gt; 一.产品优惠报价</w:t>
      </w:r>
    </w:p>
    <w:p>
      <w:r>
        <w:t>&gt;</w:t>
      </w:r>
    </w:p>
    <w:p>
      <w:r>
        <w:t>&gt; （1）CDN网站加速服务技术规格：</w:t>
      </w:r>
    </w:p>
    <w:p>
      <w:r>
        <w:t>&gt; - 节点资源：不少于500个边缘节点，覆盖中国大陆全部省级行政区及港澳台地区，并延伸至东南亚、北美、欧洲等主要海外区域；</w:t>
      </w:r>
    </w:p>
    <w:p>
      <w:r>
        <w:t>&gt; - 缓存策略：支持基于文件后缀/URL路径的精细化缓存配置，标准策略包括：HTML类资源缓存30分钟、CSS/JS类资源缓存2小时、静态图片（JPG/PNG/GIF）缓存24小时、音视频流媒体（MP4/FLV/HLS）缓存7天；</w:t>
      </w:r>
    </w:p>
    <w:p>
      <w:r>
        <w:t>&gt; - HTTPS支持：兼容TLS 1.2及以上协议版本，支持SNI扩展与泛域名SSL证书自动部署，提供OCSP Stapling及HSTS预加载支持；</w:t>
      </w:r>
    </w:p>
    <w:p>
      <w:r>
        <w:t>&gt; - API能力：提供符合OpenAPI 3.0规范的RESTful管理接口，覆盖域名接入、缓存刷新（单URL/目录/全站）、实时监控数据查询（QPS、带宽、命中率）、日志下载等功能；</w:t>
      </w:r>
    </w:p>
    <w:p>
      <w:r>
        <w:t>&gt; - 监控与报告：按月提供加盖电子签章的服务质量报告，包含但不限于：峰值带宽、累计流量、HTTP状态码分布、用户地域分布（TOP10省份/IP段）、热门URL访问排行、缓存命中率趋势图；</w:t>
      </w:r>
    </w:p>
    <w:p>
      <w:r>
        <w:t>&gt;</w:t>
      </w:r>
    </w:p>
    <w:p>
      <w:r>
        <w:t>&gt; 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 检查要点 2.3：合同金额：数量、价款要明确，包括数额的计量单位，同时写明标的物的单价、总价，币种等</w:t>
      </w:r>
    </w:p>
    <w:p>
      <w:pPr>
        <w:pStyle w:val="ListBullet"/>
      </w:pPr>
      <w:r>
        <w:t>**风险等级**：高</w:t>
      </w:r>
    </w:p>
    <w:p>
      <w:pPr>
        <w:pStyle w:val="ListBullet"/>
      </w:pPr>
      <w:r>
        <w:t>**审查结论**：合同未载明具体单价、总价、数量及对应计量单位，仅笼统描述计费方式并标注“价格如下：”“阶梯价格如下所示”等引导性表述，但实际价格内容缺失；虽约定结算货币为人民币，但缺乏金额要素的实质性约定，导致合同价款条款不成立，影响合同效力与可履行性。</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w:t>
      </w:r>
    </w:p>
    <w:p>
      <w:pPr>
        <w:pStyle w:val="ListBullet"/>
      </w:pPr>
      <w:r>
        <w:t>**问题分析**：合同中所有涉及金额的条款均以“如下所示”“如下：”“定价：”等开放式表述引出，但所指价格表格或数值在全文中完全缺位；正文中亦无任何数字形式的单价、总价、数量或计量单位（如Mbps、GB、TB、万次等）的明确记载。该情形导致价款条款不具备确定性与可执行性，无法满足《民法典》对“价款或者报酬”作为合同必备条款的基本要求，易引发履约争议、付款依据缺失及司法认定无效风险。</w:t>
      </w:r>
    </w:p>
    <w:p>
      <w:pPr>
        <w:pStyle w:val="ListBullet"/>
      </w:pPr>
      <w:r>
        <w:t>**法律依据**：《中华人民共和国民法典》第四百七十条：“合同的内容由当事人约定，一般包括下列条款：……（五）价款或者报酬；……”；《最高人民法院关于适用〈中华人民共和国民法典〉合同编通则若干问题的解释》第一条：“当事人对合同是否成立存在争议，人民法院应当依据民法典第一百四十三条、第四百七十条等规定认定。价款或者报酬不明确，且不能达成补充协议的，按照订立合同时履行地的市场价格履行；依法应当执行政府定价或者政府指导价的，依照规定履行。”</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w:t>
      </w:r>
    </w:p>
    <w:p>
      <w:r>
        <w:t>&gt;</w:t>
      </w:r>
    </w:p>
    <w:p>
      <w:r>
        <w:t>&gt; - 计费带宽0–100 Mbps：人民币¥1,200元/Mbps/月</w:t>
      </w:r>
    </w:p>
    <w:p>
      <w:r>
        <w:t>&gt; - 计费带宽101–500 Mbps：人民币¥1,000元/Mbps/月</w:t>
      </w:r>
    </w:p>
    <w:p>
      <w:r>
        <w:t>&gt; - 计费带宽501 Mbps及以上：人民币¥800元/Mbps/月</w:t>
      </w:r>
    </w:p>
    <w:p>
      <w:r>
        <w:t>&gt;</w:t>
      </w:r>
    </w:p>
    <w:p>
      <w:r>
        <w:t>&gt; （2）对象存储费用</w:t>
      </w:r>
    </w:p>
    <w:p>
      <w:r>
        <w:t>&gt;</w:t>
      </w:r>
    </w:p>
    <w:p>
      <w:r>
        <w:t>&gt; 对象存储用于存放APP升级包使用。该部分费用分为三部分：标准存储容量包、CDN回源流量包、标准存储读写请求。各项单价及计量单位如下：</w:t>
      </w:r>
    </w:p>
    <w:p>
      <w:r>
        <w:t>&gt;</w:t>
      </w:r>
    </w:p>
    <w:p>
      <w:r>
        <w:t>&gt; - 标准存储容量包：人民币¥0.02元/GB/月</w:t>
      </w:r>
    </w:p>
    <w:p>
      <w:r>
        <w:t>&gt; - CDN回源流量包：人民币¥0.30元/GB</w:t>
      </w:r>
    </w:p>
    <w:p>
      <w:r>
        <w:t>&gt; - 标准存储读写请求：人民币¥0.0001元/万次</w:t>
      </w:r>
    </w:p>
    <w:p>
      <w:r>
        <w:t>&gt;</w:t>
      </w:r>
    </w:p>
    <w:p>
      <w:r>
        <w:t>&gt; （3）CDN APP内应用升级加速费用</w:t>
      </w:r>
    </w:p>
    <w:p>
      <w:r>
        <w:t>&gt;</w:t>
      </w:r>
    </w:p>
    <w:p>
      <w:r>
        <w:t>&gt; 用于丰收互联APP内部更新、内应用升级，采用境内流量包方式一次性购买，具体定价如下：</w:t>
      </w:r>
    </w:p>
    <w:p>
      <w:r>
        <w:t>&gt;</w:t>
      </w:r>
    </w:p>
    <w:p>
      <w:r>
        <w:t>&gt; - 1 TB流量包：人民币¥3,000元/包</w:t>
      </w:r>
    </w:p>
    <w:p>
      <w:r>
        <w:t>&gt; - 10 TB流量包：人民币¥25,000元/包</w:t>
      </w:r>
    </w:p>
    <w:p>
      <w:r>
        <w:t>&gt; - 100 TB流量包：人民币¥200,000元/包</w:t>
      </w:r>
    </w:p>
    <w:p>
      <w:r>
        <w:t>&gt;</w:t>
      </w:r>
    </w:p>
    <w:p>
      <w:r>
        <w:t>&gt; **注**：以上所有价格均为含税价，币种为人民币（CNY），数量单位须在结算单据中清晰列明；合同总价以双方签署的《服务确认单》及实际发生量据实结算，但不得超出本附件所列单价上限。</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与项目实施关键节点（如初验、终验、上线运行）挂钩的分阶段付款机制；全文未约定“免费维保期”及相应尾款支付安排，缺乏质量保障与履约约束机制；虽已明确增值税专用发票类型，但整体付款结构不符合IT服务类合同的风险防控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甲方后付费的，根据合同约定甲方在该服务的服务规则确定的付款期限内支付费用。服务规则未明确付款期限的，甲方应每个月自确认账单并收到发票之日起30个工作日内向乙方付款。双方另有约定的依其约定。”</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**所在位置**：附件一《合同内容清单》三、商务要求 第1、2、4点</w:t>
      </w:r>
    </w:p>
    <w:p>
      <w:pPr>
        <w:pStyle w:val="ListBullet"/>
      </w:pPr>
      <w:r>
        <w:t>**问题分析**：当前付款机制完全依赖月度账单确认与周期性结算，属于通用SaaS服务计费逻辑，不适用于具有定制化部署、验收环节和质量保障要求的IT集成服务场景；合同未定义免费维保期起止时间、服务范围及违约责任，亦未设置质量保证金或尾款条款，导致甲方在服务交付后缺乏有效质量追索手段，显著增加履约风险。</w:t>
      </w:r>
    </w:p>
    <w:p>
      <w:pPr>
        <w:pStyle w:val="ListBullet"/>
      </w:pPr>
      <w:r>
        <w:t>**法律依据**：《中华人民共和国民法典》第五百零九条（全面履行义务）、第七百八十一条（承揽成果质量瑕疵责任）、第七百八十二条（定作人支付报酬义务），以及《信息技术服务标准（ITSS）》关于运维服务交付与质保期管理的行业实践要求。</w:t>
      </w:r>
    </w:p>
    <w:p>
      <w:pPr>
        <w:pStyle w:val="ListBullet"/>
      </w:pPr>
      <w:r>
        <w:t>**修改建议**：</w:t>
      </w:r>
    </w:p>
    <w:p>
      <w:r>
        <w:t>&gt; “本合同采用分阶段付款方式，具体如下：（1）合同生效后5个工作日内，甲方向乙方支付合同总金额的30%作为预付款；（2）CDN服务完成部署并通过初验（以双方签署的《初验报告》为准）后5个工作日内，甲方向乙方支付合同总金额的40%；（3）CDN服务正式上线运行满3个月且通过终验（以双方签署的《终验报告》为准）后5个工作日内，甲方向乙方支付合同总金额的20%；（4）剩余10%作为质量保证金，在免费维保期（自终验合格之日起连续12个月）届满、乙方已履行全部维保义务且无未决质量争议的前提下，甲方于届满后5个工作日内一次性无息付清。乙方每次申请付款前，须向甲方开具合法有效的等额增值税专用发票。”</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多处文字规范性缺陷（错别字、标点误用、数字格式不统一、口语化表达）、结构混乱（标题重复、层级错位、编号错误）、关键条款缺失（合同总金额未载明，无法验证付款计划总额一致性），且全文未见金额大小写表述，构成实质性履约与争议解决障碍。</w:t>
      </w:r>
    </w:p>
    <w:p>
      <w:pPr>
        <w:pStyle w:val="ListBullet"/>
      </w:pPr>
      <w:r>
        <w:t>**原文引用**：</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  月  日</w:t>
      </w:r>
    </w:p>
    <w:p>
      <w:pPr>
        <w:pStyle w:val="ListBullet"/>
      </w:pPr>
      <w:r>
        <w:t>**所在位置**：合同首部信息</w:t>
      </w:r>
    </w:p>
    <w:p>
      <w:pPr>
        <w:pStyle w:val="ListBullet"/>
      </w:pPr>
      <w:r>
        <w:t>**问题分析**：</w:t>
      </w:r>
    </w:p>
    <w:p>
      <w:r>
        <w:t>1. 中文语境下企业名称及项目名称中应使用全角中文括号“（）”，原文中“腾讯云计算(北京)有限责任公司”“CDN加速服务项目(三年)”均误用半角英文括号“()”，易引发主体识别歧义；</w:t>
      </w:r>
    </w:p>
    <w:p>
      <w:r>
        <w:t>2. “签订日期：2025年  月  日”含多余空格，不符合正式文书日期填写规范，影响签署效力认定；</w:t>
      </w:r>
    </w:p>
    <w:p>
      <w:r>
        <w:t>3. 合同首部出现两次“## 合同首部信息”标题（原文虽未显式写出该标题，但结构上存在重复性首部区块），造成格式冗余与逻辑断层；</w:t>
      </w:r>
    </w:p>
    <w:p>
      <w:r>
        <w:t>4. 全文未载明合同总金额（包括大写与小写形式），亦无付款计划条款，致使价款这一《民法典》规定的合同必备要素缺位，无法核实付款安排与总价的一致性，构成重大履约风险。</w:t>
      </w:r>
    </w:p>
    <w:p>
      <w:pPr>
        <w:pStyle w:val="ListBullet"/>
      </w:pPr>
      <w:r>
        <w:t>**法律依据**：</w:t>
      </w:r>
    </w:p>
    <w:p>
      <w:r>
        <w:t>《中华人民共和国民法典》第四百七十条：合同的内容由当事人约定，一般包括下列条款：（一）当事人的姓名或者名称和住所；（二）标的；（三）数量；（四）质量；（五）价款或者报酬；……当事人可以参照各类合同的示范文本订立合同。</w:t>
      </w:r>
    </w:p>
    <w:p>
      <w:r>
        <w:t>《党政机关公文格式》（GB/T 9704—2012）：规定中文文书应统一使用全角标点符号，日期、编号、层级序数须符合规范格式要求。</w:t>
      </w:r>
    </w:p>
    <w:p>
      <w:pPr>
        <w:pStyle w:val="ListBullet"/>
      </w:pPr>
      <w:r>
        <w:t>**修改建议**：</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签订日期：2025年__月__日</w:t>
      </w:r>
    </w:p>
    <w:p>
      <w:r>
        <w:t>&gt;</w:t>
      </w:r>
    </w:p>
    <w:p>
      <w:r>
        <w:t>&gt; **合同总金额（人民币）：¥______元（大写：________________________元整）**</w:t>
      </w:r>
    </w:p>
    <w:p>
      <w:r>
        <w:t>&gt; **付款计划详见本合同附件一《合同内容清单》第X条**</w:t>
      </w:r>
    </w:p>
    <w:p>
      <w:r>
        <w:t>#### 检查要点 3.2：校验相同条款在正文与附件中约定是否一致</w:t>
      </w:r>
    </w:p>
    <w:p>
      <w:pPr>
        <w:pStyle w:val="ListBullet"/>
      </w:pPr>
      <w:r>
        <w:t>**风险等级**：高</w:t>
      </w:r>
    </w:p>
    <w:p>
      <w:pPr>
        <w:pStyle w:val="ListBullet"/>
      </w:pPr>
      <w:r>
        <w:t>**审查结论**：合同附件之间就同一关键履约指标（服务可用性标准、服务开通日期认定主体）存在实质性不一致约定，易引发履行争议，影响权利义务确定及违约责任认定</w:t>
      </w:r>
    </w:p>
    <w:p>
      <w:pPr>
        <w:pStyle w:val="ListBullet"/>
      </w:pPr>
      <w:r>
        <w:t>**原文引用**：</w:t>
      </w:r>
    </w:p>
    <w:p>
      <w:r>
        <w:t>&gt; 附件一《合同内容清单》</w:t>
      </w:r>
    </w:p>
    <w:p>
      <w:r>
        <w:t>&gt; 二、验收要求</w:t>
      </w:r>
    </w:p>
    <w:p>
      <w:r>
        <w:t>&gt; 1. CDN加速后，全国范围内用户访问甲方互联网类系统可用性不低于99%。</w:t>
      </w:r>
    </w:p>
    <w:p>
      <w:r>
        <w:t>&gt;</w:t>
      </w:r>
    </w:p>
    <w:p>
      <w:r>
        <w:t>&gt; 附件二《工作任务说明书》</w:t>
      </w:r>
    </w:p>
    <w:p>
      <w:r>
        <w:t>&gt; 四、服务可用性保证</w:t>
      </w:r>
    </w:p>
    <w:p>
      <w:r>
        <w:t>&gt; 1. 乙方保证甲方购买的服务的“服务可用性”达到99.9%。</w:t>
      </w:r>
    </w:p>
    <w:p>
      <w:pPr>
        <w:pStyle w:val="ListBullet"/>
      </w:pPr>
      <w:r>
        <w:t>**所在位置**：附件一第二条第1款；附件二第四条第1款</w:t>
      </w:r>
    </w:p>
    <w:p>
      <w:pPr>
        <w:pStyle w:val="ListBullet"/>
      </w:pPr>
      <w:r>
        <w:t>**问题分析**：服务可用性系CDN服务核心性能指标，直接关联服务质量评价、违约认定及赔偿计算。附件一约定“不低于99%”，附件二约定“达到99.9%”，二者标准相差一个数量级，构成根本性条款冲突。若未统一，将导致验收标准模糊、违约责任边界不清，显著增加履约不确定性与争议风险。</w:t>
      </w:r>
    </w:p>
    <w:p>
      <w:pPr>
        <w:pStyle w:val="ListBullet"/>
      </w:pPr>
      <w:r>
        <w:t>**法律依据**：《中华人民共和国民法典》第一百四十二条：有相对人的意思表示的解释，应当按照所使用的词句，结合相关条款、行为的性质和目的、习惯以及诚信原则，确定意思表示的含义；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附件一《合同内容清单》</w:t>
      </w:r>
    </w:p>
    <w:p>
      <w:r>
        <w:t>&gt; 二、验收要求</w:t>
      </w:r>
    </w:p>
    <w:p>
      <w:r>
        <w:t>&gt; 1. CDN加速后，全国范围内用户访问甲方互联网类系统可用性不低于99.9%。</w:t>
      </w:r>
    </w:p>
    <w:p>
      <w:r>
        <w:t>---</w:t>
      </w:r>
    </w:p>
    <w:p>
      <w:r>
        <w:t>#### 检查要点 3.2：校验相同条款在正文与附件中约定是否一致</w:t>
      </w:r>
    </w:p>
    <w:p>
      <w:pPr>
        <w:pStyle w:val="ListBullet"/>
      </w:pPr>
      <w:r>
        <w:t>**风险等级**：高</w:t>
      </w:r>
    </w:p>
    <w:p>
      <w:pPr>
        <w:pStyle w:val="ListBullet"/>
      </w:pPr>
      <w:r>
        <w:t>**审查结论**：附件一对服务开通日期的记录主体（甲方系统）与附件三（产品服务协议）的约定（乙方系统）相冲突，构成对关键履约时点认定标准的不一致，可能引发计费起算、服务责任起始等重大争议</w:t>
      </w:r>
    </w:p>
    <w:p>
      <w:pPr>
        <w:pStyle w:val="ListBullet"/>
      </w:pPr>
      <w:r>
        <w:t>**原文引用**：</w:t>
      </w:r>
    </w:p>
    <w:p>
      <w:r>
        <w:t>&gt; 附件一《合同内容清单》</w:t>
      </w:r>
    </w:p>
    <w:p>
      <w:r>
        <w:t>&gt; 三、商务要求</w:t>
      </w:r>
    </w:p>
    <w:p>
      <w:r>
        <w:t>&gt; 6. 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附件三《产品服务协议》</w:t>
      </w:r>
    </w:p>
    <w:p>
      <w:r>
        <w:t>&gt; 三、服务开通与使用</w:t>
      </w:r>
    </w:p>
    <w:p>
      <w:r>
        <w:t>&gt; 2. 服务开通日期：指乙方为甲方开通CDN服务的日期，服务开通日期以乙方系统记录时间为准。</w:t>
      </w:r>
    </w:p>
    <w:p>
      <w:pPr>
        <w:pStyle w:val="ListBullet"/>
      </w:pPr>
      <w:r>
        <w:t>**所在位置**：附件一第三条第6款；附件三第三条第2款</w:t>
      </w:r>
    </w:p>
    <w:p>
      <w:pPr>
        <w:pStyle w:val="ListBullet"/>
      </w:pPr>
      <w:r>
        <w:t>**问题分析**：服务开通日期是计费起算、SLA责任起始、不可抗力免责期间界定等关键法律时点。附件一赋予甲方单方系统记录权，附件三则赋予乙方单方记录权，二者逻辑互斥，缺乏协同机制或优先适用规则，极易在发生系统日志差异时产生不可调和的举证对抗，损害合同可执行性。</w:t>
      </w:r>
    </w:p>
    <w:p>
      <w:pPr>
        <w:pStyle w:val="ListBullet"/>
      </w:pPr>
      <w:r>
        <w:t>**法律依据**：《中华人民共和国民法典》第一百四十二条（同上）；第五百零九条：当事人应当按照约定全面履行自己的义务；第五百一十一条第（四）项：当事人就有关合同内容约定不明确，依照本法第五百一十条的规定仍不能确定的，适用下列规定：……（四）履行期限不明确的，债务人可以随时履行，债权人也可以随时要求履行，但应当给对方必要的准备时间。</w:t>
      </w:r>
    </w:p>
    <w:p>
      <w:pPr>
        <w:pStyle w:val="ListBullet"/>
      </w:pPr>
      <w:r>
        <w:t>**修改建议**：</w:t>
      </w:r>
    </w:p>
    <w:p>
      <w:r>
        <w:t>&gt; 附件一《合同内容清单》</w:t>
      </w:r>
    </w:p>
    <w:p>
      <w:r>
        <w:t>&gt; 三、商务要求</w:t>
      </w:r>
    </w:p>
    <w:p>
      <w:r>
        <w:t>&gt; 6. 上述服务的开通日期，指乙方为甲方开通CDN服务的日期，服务开通日期以乙方系统记录时间为准；甲方应在服务开通后24小时内完成系统侧确认，逾期未提出书面异议的，视为认可该开通时间。计费开始日期指甲方应当依约向乙方支付服务费的起算时间。服务开通日期原则上与计费开始日期一致，双方另行约定的除外。</w:t>
      </w:r>
    </w:p>
    <w:p>
      <w:r>
        <w:t>---</w:t>
      </w:r>
    </w:p>
    <w:p>
      <w:r>
        <w:t>*注：关于付款期限不一致的可能性，因附件三未明示具体期限且援引外部协议（《腾讯云服务协议》），属“约定不明”而非“直接冲突”，故不构成本要点项下的实质性不一致，建议在合同签署前由双方书面确认适用版本及付款条款，或于附件三中直接载明付款期限，以避免援引不确定性。该事项可作为补充提示，不纳入本检查要点正式结论。*</w:t>
      </w:r>
    </w:p>
    <w:p>
      <w:r>
        <w:t>#### 检查要点 3.3：校验是否出现招标单位、谈判单位等其他流程中相关用语</w:t>
      </w:r>
    </w:p>
    <w:p>
      <w:pPr>
        <w:pStyle w:val="ListBullet"/>
      </w:pPr>
      <w:r>
        <w:t>**风险等级**：中</w:t>
      </w:r>
    </w:p>
    <w:p>
      <w:pPr>
        <w:pStyle w:val="ListBullet"/>
      </w:pPr>
      <w:r>
        <w:t>**审查结论**：合同中存在“招标单位”“谈判”等采购程序性用语，未统一使用法定合同主体称谓（如“甲方”“乙方”），影响合同文本的规范性、法律严谨性及权责明确性，需全面修正。</w:t>
      </w:r>
    </w:p>
    <w:p>
      <w:pPr>
        <w:pStyle w:val="ListBullet"/>
      </w:pPr>
      <w:r>
        <w:t>**原文引用**：</w:t>
      </w:r>
    </w:p>
    <w:p>
      <w:r>
        <w:t>&gt; 提供泛域名证书支持招标单位多个域名接入的需求。</w:t>
      </w:r>
    </w:p>
    <w:p>
      <w:pPr>
        <w:pStyle w:val="ListBullet"/>
      </w:pPr>
      <w:r>
        <w:t>**所在位置**：附件一“合同内容清单”第二部分“验收要求”第5点</w:t>
      </w:r>
    </w:p>
    <w:p>
      <w:pPr>
        <w:pStyle w:val="ListBullet"/>
      </w:pPr>
      <w:r>
        <w:t>**问题分析**：“招标单位”系政府采购或工程招投标流程中的阶段性称谓，不具备合同法律主体资格；正式合同应以签署方身份（即“甲方”）指代采购人，否则易引发主体识别混淆，削弱条款约束力，并可能影响争议解决中的责任认定。</w:t>
      </w:r>
    </w:p>
    <w:p>
      <w:pPr>
        <w:pStyle w:val="ListBullet"/>
      </w:pPr>
      <w:r>
        <w:t>**法律依据**：《中华人民共和国民法典》第四百七十条：合同的内容由当事人约定，一般包括当事人的名称和住所、标的、数量、质量、价款或者报酬、履行期限、地点和方式、违约责任、解决争议的方法等；当事人可参照各类合同示范文本订立合同。</w:t>
      </w:r>
    </w:p>
    <w:p>
      <w:pPr>
        <w:pStyle w:val="ListBullet"/>
      </w:pPr>
      <w:r>
        <w:t>**修改建议**：</w:t>
      </w:r>
    </w:p>
    <w:p>
      <w:r>
        <w:t>&gt; 提供泛域名证书支持甲方多个域名接入的需求。</w:t>
      </w:r>
    </w:p>
    <w:p>
      <w:pPr>
        <w:pStyle w:val="ListBullet"/>
      </w:pPr>
      <w:r>
        <w:t>**风险等级**：中</w:t>
      </w:r>
    </w:p>
    <w:p>
      <w:pPr>
        <w:pStyle w:val="ListBullet"/>
      </w:pPr>
      <w:r>
        <w:t>**审查结论**：“谈判”被错误用作法律行为的实施主体，属语法与法律逻辑双重失范，必须明确责任主体为“乙方”。</w:t>
      </w:r>
    </w:p>
    <w:p>
      <w:pPr>
        <w:pStyle w:val="ListBullet"/>
      </w:pPr>
      <w:r>
        <w:t>**原文引用**：</w:t>
      </w:r>
    </w:p>
    <w:p>
      <w:r>
        <w:t>&gt; 由于谈判未及时通知此项变更而造成延期付款等的一切后果，甲方不承担任何责任。</w:t>
      </w:r>
    </w:p>
    <w:p>
      <w:pPr>
        <w:pStyle w:val="ListBullet"/>
      </w:pPr>
      <w:r>
        <w:t>**所在位置**：附件一“合同内容清单”第三部分“商务要求”第5点</w:t>
      </w:r>
    </w:p>
    <w:p>
      <w:pPr>
        <w:pStyle w:val="ListBullet"/>
      </w:pPr>
      <w:r>
        <w:t>**问题分析**：“谈判”是程序性活动而非民事主体，不能作为义务履行或责任承担的主语；该表述导致义务归属不清，违反合同相对性原则，亦与《民法典》关于合同义务主体须为自然人、法人或其他组织的要求相悖。</w:t>
      </w:r>
    </w:p>
    <w:p>
      <w:pPr>
        <w:pStyle w:val="ListBullet"/>
      </w:pPr>
      <w:r>
        <w:t>**法律依据**：《中华人民共和国民法典》第五百零九条：当事人应当按照约定全面履行自己的义务；当事人应当遵循诚信原则，根据合同性质、目的和交易习惯履行通知、协助、保密等义务。</w:t>
      </w:r>
    </w:p>
    <w:p>
      <w:pPr>
        <w:pStyle w:val="ListBullet"/>
      </w:pPr>
      <w:r>
        <w:t>**修改建议**：</w:t>
      </w:r>
    </w:p>
    <w:p>
      <w:r>
        <w:t>&gt; 由于乙方未及时通知此项变更而造成延期付款等的一切后果，甲方不承担任何责任。</w:t>
      </w:r>
    </w:p>
    <w:p>
      <w:pPr>
        <w:pStyle w:val="ListBullet"/>
      </w:pPr>
      <w:r>
        <w:t>**风险等级**：低</w:t>
      </w:r>
    </w:p>
    <w:p>
      <w:pPr>
        <w:pStyle w:val="ListBullet"/>
      </w:pPr>
      <w:r>
        <w:t>**审查结论**：“招投标”作为工作流程环节出现在保密协议对项目范围的概括性描述中，虽属背景性表述，但仍宜采用更契合合同语境的规范术语，以保持全文术语体系一致性。</w:t>
      </w:r>
    </w:p>
    <w:p>
      <w:pPr>
        <w:pStyle w:val="ListBullet"/>
      </w:pPr>
      <w:r>
        <w:t>**原文引用**：</w:t>
      </w:r>
    </w:p>
    <w:p>
      <w:r>
        <w:t>&gt; 进行立项、招投标、开发、测试、调试、运行、维保等事项。</w:t>
      </w:r>
    </w:p>
    <w:p>
      <w:pPr>
        <w:pStyle w:val="ListBullet"/>
      </w:pPr>
      <w:r>
        <w:t>**所在位置**：附件四“信息化建设保密协议”第一条“本协议所指项目”</w:t>
      </w:r>
    </w:p>
    <w:p>
      <w:pPr>
        <w:pStyle w:val="ListBullet"/>
      </w:pPr>
      <w:r>
        <w:t>**问题分析**：“招投标”具有特定行政/程序属性，易被解读为尚未完成合同订立的前置阶段，与保密协议所依托的已成立合同关系存在逻辑张力；使用“采购”或“合同签订”更准确体现双方已确立权利义务关系的事实基础。</w:t>
      </w:r>
    </w:p>
    <w:p>
      <w:pPr>
        <w:pStyle w:val="ListBullet"/>
      </w:pPr>
      <w:r>
        <w:t>**法律依据**：《中华人民共和国民法典》第四百七十条（同上）。</w:t>
      </w:r>
    </w:p>
    <w:p>
      <w:pPr>
        <w:pStyle w:val="ListBullet"/>
      </w:pPr>
      <w:r>
        <w:t>**修改建议**：</w:t>
      </w:r>
    </w:p>
    <w:p>
      <w:r>
        <w:t>&gt; 进行立项、采购、开发、测试、调试、运行、维保等事项。</w:t>
      </w:r>
    </w:p>
    <w:p>
      <w:r>
        <w:t>#### 检查要点 3.4：合同主体名称和签订主体名称首尾须保持一致</w:t>
      </w:r>
    </w:p>
    <w:p>
      <w:pPr>
        <w:pStyle w:val="ListBullet"/>
      </w:pPr>
      <w:r>
        <w:t>**风险等级**：中</w:t>
      </w:r>
    </w:p>
    <w:p>
      <w:pPr>
        <w:pStyle w:val="ListBullet"/>
      </w:pPr>
      <w:r>
        <w:t>**审查结论**：乙方全称在合同中存在形式不一致，标题及签约主体栏使用半角括号“()”，而账户信息处误用全角括号“（）”，违反主体名称首尾一致的规范性要求。</w:t>
      </w:r>
    </w:p>
    <w:p>
      <w:pPr>
        <w:pStyle w:val="ListBullet"/>
      </w:pPr>
      <w:r>
        <w:t>**原文引用**：</w:t>
      </w:r>
    </w:p>
    <w:p>
      <w:r>
        <w:t>&gt; 账户：腾讯云计算（北京）有限责任公司</w:t>
      </w:r>
    </w:p>
    <w:p>
      <w:pPr>
        <w:pStyle w:val="ListBullet"/>
      </w:pPr>
      <w:r>
        <w:t>**所在位置**：乙方账户信息条款（具体位于合同附件或付款信息章节）</w:t>
      </w:r>
    </w:p>
    <w:p>
      <w:pPr>
        <w:pStyle w:val="ListBullet"/>
      </w:pPr>
      <w:r>
        <w:t>**问题分析**：合同主体名称作为识别缔约方唯一法律身份的核心要素，其文字、标点、空格等格式须全程统一。半角括号与全角括号在中文排版中属不同字符编码（ASCII vs. Unicode），虽语义无差别，但构成形式瑕疵，易引发对合同严谨性、签署真实性及后续争议中主体适格性的质疑，亦不符合金融类合同对文本规范性的高标准要求。</w:t>
      </w:r>
    </w:p>
    <w:p>
      <w:pPr>
        <w:pStyle w:val="ListBullet"/>
      </w:pPr>
      <w:r>
        <w:t>**法律依据**：《中华人民共和国民法典》第四百七十条明确合同内容应具备“当事人的姓名或者名称”；《最高人民法院关于适用〈中华人民共和国民事诉讼法〉的解释》第五十二条强调“法人或者其他组织的名称应以其登记注册名称为准”，而登记名称中的括号为半角格式（以国家企业信用信息公示系统登记为准）。实务中，《银行业金融机构合同管理指引》《政府采购货物和服务招标投标管理办法》（财政部令第87号）均要求合同文本表述准确、统一、可追溯。</w:t>
      </w:r>
    </w:p>
    <w:p>
      <w:pPr>
        <w:pStyle w:val="ListBullet"/>
      </w:pPr>
      <w:r>
        <w:t>**修改建议**：</w:t>
      </w:r>
    </w:p>
    <w:p>
      <w:r>
        <w:t>&gt; 账户：腾讯云计算(北京)有限责任公司</w:t>
      </w:r>
    </w:p>
    <w:p>
      <w:r>
        <w:t>#### 检查要点 3.5：正文最后，写上“以下为合同签署栏/以下无正文”的内容</w:t>
      </w:r>
    </w:p>
    <w:p>
      <w:pPr>
        <w:pStyle w:val="ListBullet"/>
      </w:pPr>
      <w:r>
        <w:t>**风险等级**：中</w:t>
      </w:r>
    </w:p>
    <w:p>
      <w:pPr>
        <w:pStyle w:val="ListBullet"/>
      </w:pPr>
      <w:r>
        <w:t>**审查结论**：合同正文末尾未设置“以下为合同签署栏”或“以下无正文”等标准提示语，导致正文与签署页界限不清，可能影响合同形式完备性及司法实践中对合同完整性、真实性的认定。</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**所在位置**：合同正文末段（签署页起始处，位于“第十五条 附件”之后、附件一之前）</w:t>
      </w:r>
    </w:p>
    <w:p>
      <w:pPr>
        <w:pStyle w:val="ListBullet"/>
      </w:pPr>
      <w:r>
        <w:t>**问题分析**：当前签署栏直接置于主文条款终结之后，但未以明确文字标识其性质，易引发对附件是否构成正文延续、签署页是否独立于正文的争议；尤其在发生纠纷时，缺乏形式分隔可能削弱合同整体证据效力，增加举证难度。实践中，法院常将“以下无正文”作为判断合同文本是否完整、是否存在事后添加内容的重要形式要件。</w:t>
      </w:r>
    </w:p>
    <w:p>
      <w:pPr>
        <w:pStyle w:val="ListBullet"/>
      </w:pPr>
      <w:r>
        <w:t>**法律依据**：《中华人民共和国民法典》第四百七十条虽未强制规定提示语，但强调合同应具备必要条款并体现当事人真实意思表示；《最高人民法院关于民事诉讼证据的若干规定》第九十条明确，无法与原件核对的复制件不得单独作为认定案件事实的依据；而缺乏清晰分隔的合同文本，在真实性、完整性存疑时，易被质疑为非原始签署版本。</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r>
        <w:t>按风险等级排序，列出需要优先处理的问题（已剔除所有“无风险”及“无需修改”项）：</w:t>
      </w:r>
    </w:p>
    <w:p>
      <w:pPr>
        <w:pStyle w:val="Heading3"/>
      </w:pPr>
      <w:r>
        <w:t>（一）必须立即修订的高风险问题</w:t>
      </w:r>
    </w:p>
    <w:p>
      <w:pPr>
        <w:pStyle w:val="ListBullet"/>
      </w:pPr>
      <w:r>
        <w:t>乙方须于合同签订前向甲方提供加盖公章的营业执照副本复印件及有效的《增值电信业务经营许可证》复印件，所持许可证业务种类须明确包含“内容分发网络（CDN）业务”“互联网资源协作服务”及“在线数据处理与交易处理业务（含对象存储）”。</w:t>
      </w:r>
    </w:p>
    <w:p>
      <w:pPr>
        <w:pStyle w:val="ListBullet"/>
      </w:pPr>
      <w:r>
        <w:t>在附件一《合同内容清单》中补全全部价格条款：明确CDN带宽阶梯单价（如¥1,200元/Mbps/月）、对象存储三项费用单价（容量包¥0.02元/GB/月、回源流量¥0.30元/GB、读写请求¥0.0001元/万次）、APP升级流量包定价（1TB/¥3,000元），并注明币种、计量单位及含税状态。</w:t>
      </w:r>
    </w:p>
    <w:p>
      <w:pPr>
        <w:pStyle w:val="ListBullet"/>
      </w:pPr>
      <w:r>
        <w:t>重构付款机制：实行四阶段付款（30%预付款+40%初验款+20%终验款+10%质保金），明确免费维保期为终验合格后连续12个月，质保金于期满无争议后5个工作日内无息付清。</w:t>
      </w:r>
    </w:p>
    <w:p>
      <w:pPr>
        <w:pStyle w:val="ListBullet"/>
      </w:pPr>
      <w:r>
        <w:t>全面修正合同首部及文本形式缺陷：统一使用全角中文括号；补全“签订日期”空格；删除重复标题；在首部显著位置增补“合同总金额（人民币）：¥______元（大写：________________________元整）”；统一附件间冲突条款——将服务可用性标准统一为“99.9%”，服务开通日期认定主体统一为“乙方系统记录时间”，并增设甲方24小时确认机制。</w:t>
      </w:r>
    </w:p>
    <w:p>
      <w:pPr>
        <w:pStyle w:val="Heading3"/>
      </w:pPr>
      <w:r>
        <w:t>（二）建议同步修订的中风险问题</w:t>
      </w:r>
    </w:p>
    <w:p>
      <w:pPr>
        <w:pStyle w:val="ListBullet"/>
      </w:pPr>
      <w:r>
        <w:t>在合同首部补充甲乙双方法定代表人姓名、传真号码；将乙方邮编更正为北京市海淀区对应邮编“100193”；明确联系人身份为“授权代表”。</w:t>
      </w:r>
    </w:p>
    <w:p>
      <w:pPr>
        <w:pStyle w:val="ListBullet"/>
      </w:pPr>
      <w:r>
        <w:t>在附件一中增补项目负责人身份证号码及本人实名制手机号，替代现有单位办公电话。</w:t>
      </w:r>
    </w:p>
    <w:p>
      <w:pPr>
        <w:pStyle w:val="ListBullet"/>
      </w:pPr>
      <w:r>
        <w:t>在附件一《合同内容清单》中细化CDN服务技术规格，包括边缘节点数量与地理覆盖、缓存策略（按文件类型设定TTL）、HTTPS支持能力（TLS 1.2+、SNI、HSTS）、API接口规范（OpenAPI 3.0）、监控报告内容与交付格式。</w:t>
      </w:r>
    </w:p>
    <w:p>
      <w:pPr>
        <w:pStyle w:val="ListBullet"/>
      </w:pPr>
      <w:r>
        <w:t>将合同中所有“招标单位”“谈判”等非主体称谓统一替换为“甲方”“乙方”；将“招投标”统一替换为“采购”。</w:t>
      </w:r>
    </w:p>
    <w:p>
      <w:pPr>
        <w:pStyle w:val="ListBullet"/>
      </w:pPr>
      <w:r>
        <w:t>统一乙方全称括号格式，全文均采用半角括号“()”，与国家企业信用信息公示系统登记名称保持一致。</w:t>
      </w:r>
    </w:p>
    <w:p>
      <w:pPr>
        <w:pStyle w:val="ListBullet"/>
      </w:pPr>
      <w:r>
        <w:t>在正文末尾、签署栏上方增加标准提示语：“以下为合同签署栏”。</w:t>
      </w:r>
    </w:p>
    <w:p>
      <w:pPr>
        <w:pStyle w:val="Heading3"/>
      </w:pPr>
      <w:r>
        <w:t>（三）可后续验证的低风险问题</w:t>
      </w:r>
    </w:p>
    <w:p>
      <w:r>
        <w:t>1. 在第七条知识产权条款旁增加说明性备注，明确本合同项下服务属SaaS模式，不涉及软件著作权或源代码转让；如甲方确有技术自主可控需求，建议通过附件二或补充协议另行约定源代码托管、API开放、应急接管等可操作性保障措施。</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**1.2** | **核对经营范围，合同标的是否在经营范围之内；** | **✅** |</w:t>
      </w:r>
    </w:p>
    <w:p>
      <w:r>
        <w:t>| **1.3** | **合同提供信息是否齐全，是否与工商登记一致，包括联系地址、联系电话、传真、法定代表人或负责人、联系人等信息；** | **✅** |</w:t>
      </w:r>
    </w:p>
    <w:p>
      <w:r>
        <w:t>| **1.4** | **购买软件等产品，是否有核心知识产权；** | **✅** |</w:t>
      </w:r>
    </w:p>
    <w:p>
      <w:r>
        <w:t>| **—** | **【（二）合同框架】** | **—** |</w:t>
      </w:r>
    </w:p>
    <w:p>
      <w:r>
        <w:t>| **2.1** | **合同主要项目负责人是否确定、是否预留姓名、身份证号码及电话号码** | **✅** |</w:t>
      </w:r>
    </w:p>
    <w:p>
      <w:r>
        <w:t>| **2.2** | **采购内容：品种、规格、型号、等级、花色等应具体注明，必要时可通过附件说明标的物的实际情况。** | **✅** |</w:t>
      </w:r>
    </w:p>
    <w:p>
      <w:r>
        <w:t>| **2.3** | **合同金额：数量、价款要明确，包括数额的计量单位，同时写明标的物的单价、总价，币种等。** | **✅** |</w:t>
      </w:r>
    </w:p>
    <w:p>
      <w:r>
        <w:t>| **2.4**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**3.2** | **校验相同条款在正文与附件中约定是否一致** | **✅** |</w:t>
      </w:r>
    </w:p>
    <w:p>
      <w:r>
        <w:t>| **3.3** | **校验是否出现招标单位、谈判单位等其他流程中相关用语** | **✅** |</w:t>
      </w:r>
    </w:p>
    <w:p>
      <w:r>
        <w:t>| **3.4** | **合同主体名称和签订主体名称首尾须保持一致** | **✅** |</w:t>
      </w:r>
    </w:p>
    <w:p>
      <w:r>
        <w:t>| **3.5** | **援引法律校验是否有效** | **✅** |</w:t>
      </w:r>
    </w:p>
    <w:p>
      <w:r>
        <w:t>| **3.6**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626,081 |</w:t>
      </w:r>
    </w:p>
    <w:p>
      <w:r>
        <w:t>| 汇总（Summarizer） | 40,282 |</w:t>
      </w:r>
    </w:p>
    <w:p>
      <w:r>
        <w:t>| **合计** | **668,609**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