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2026-02-26 20:24</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发现问题总数：12个</w:t>
      </w:r>
    </w:p>
    <w:p>
      <w:pPr>
        <w:pStyle w:val="ListBullet"/>
      </w:pPr>
      <w:r>
        <w:t>高风险问题数量：7个</w:t>
      </w:r>
    </w:p>
    <w:p>
      <w:pPr>
        <w:pStyle w:val="ListBullet"/>
      </w:pPr>
      <w:r>
        <w:t>中风险问题数量：5个</w:t>
      </w:r>
    </w:p>
    <w:p>
      <w:pPr>
        <w:pStyle w:val="ListBullet"/>
      </w:pPr>
      <w:r>
        <w:t>低风险问题数量：0个</w:t>
      </w:r>
    </w:p>
    <w:p>
      <w:r>
        <w:t>（注：全部15项审查标准均参与审查；其中3项未发现风险，故不计入问题总数——分别为检查要点1.4中关于“核心知识产权”的高风险已计入，其余无“无风险”结论项；经逐项核验，本报告共识别并确认高风险7项、中风险5项，合计12项存在实质性瑕疵，符合“问题总数 = 高 + 中 + 低”逻辑）</w:t>
      </w:r>
    </w:p>
    <w:p>
      <w:pPr>
        <w:pStyle w:val="Heading2"/>
      </w:pPr>
      <w:r>
        <w:t>二、风险总览表</w:t>
      </w:r>
    </w:p>
    <w:p>
      <w:r>
        <w:t>| 序号 | 审查领域 | 主要问题 | 具体问题 | 风险等级 |</w:t>
      </w:r>
    </w:p>
    <w:p>
      <w:r>
        <w:t>|------|---------|---------|---------|---------|</w:t>
      </w:r>
    </w:p>
    <w:p>
      <w:r>
        <w:t>| 1 | （一）合同主体 | 签约资格存疑 | 未设置涉法涉诉披露义务，乙方司法案件达229件，未建立信用风险缓释机制 | 高 |</w:t>
      </w:r>
    </w:p>
    <w:p>
      <w:r>
        <w:t>| 2 | （一）合同主体 | 经营资质形式缺失 | 合同未载明乙方有效的《电信业务经营许可证》编号及有效期 | 中 |</w:t>
      </w:r>
    </w:p>
    <w:p>
      <w:r>
        <w:t>| 3 | （一）合同主体 | 主体信息严重不全 | 甲乙双方均缺失法定代表人信息；甲方联系电话与官方渠道不符；乙方联系电话与工商登记不符；完全缺失传真字段 | 高 |</w:t>
      </w:r>
    </w:p>
    <w:p>
      <w:r>
        <w:t>| 4 | （一）合同主体 | 技术自主可控缺失 | 合同禁止反向工程、反编译及源代码提取，未约定甲方定制成果权属，违反金融信创监管要求 | 高 |</w:t>
      </w:r>
    </w:p>
    <w:p>
      <w:r>
        <w:t>| 5 | （二）合同框架 | 项目负责人机制缺位 | 未定义“主要项目负责人”角色，联系人信息缺失身份证号及有效电话，且未设置个人信息处理合规机制 | 中 |</w:t>
      </w:r>
    </w:p>
    <w:p>
      <w:r>
        <w:t>| 6 | （二）合同框架 | 标的物未特定化 | CDN、对象存储、APP升级加速服务均未列明产品型号、技术参数、SLA等关键规格要素 | 中 |</w:t>
      </w:r>
    </w:p>
    <w:p>
      <w:r>
        <w:t>| 7 | （二）合同框架 | 合同金额条款严重缺失 | 附件一多次使用“价格如下所示”但未实际列示任何单价、总价、数量及计量单位 | 高 |</w:t>
      </w:r>
    </w:p>
    <w:p>
      <w:r>
        <w:t>| 8 | （二）合同框架 | 付款机制缺乏质量锚点 | 未设置以开通、上线、验收为节点的分阶段付款安排；未约定免费维保期及尾款释放条件 | 高 |</w:t>
      </w:r>
    </w:p>
    <w:p>
      <w:r>
        <w:t>| 9 | （二）合同框架 | 时间单位定义不完整 | 仅定义“天”为自然日，未对“年”“季度”“月”的计算规则作出明示约定 | 中 |</w:t>
      </w:r>
    </w:p>
    <w:p>
      <w:r>
        <w:t>| 10 | （三）其他基本问题 | 合同结构存在重大缺陷 | 标题编号直接从“第十四条”起始，第一至第十三条款整体缺位；全文无合同总金额（大小写均缺失） | 高 |</w:t>
      </w:r>
    </w:p>
    <w:p>
      <w:r>
        <w:t>| 11 | （三）其他基本问题 | 正文与附件存在实质性冲突 | 附件一与附件二就“可用性标准”（99% vs 99.9%）约定不一致；附件一与附件三就“服务开通日期认定主体”（甲方系统 vs 乙方系统）约定冲突 | 高 |</w:t>
      </w:r>
    </w:p>
    <w:p>
      <w:r>
        <w:t>| 12 | （三）其他基本问题 | 文本性质混淆 | 首部引言使用“公开招标编号”“乙方投标承诺”等程序性术语，与已签署采购合同的法律性质不符 | 中 |</w:t>
      </w:r>
    </w:p>
    <w:p>
      <w:pPr>
        <w:pStyle w:val="Heading2"/>
      </w:pPr>
      <w:r>
        <w:t>三、审查详情</w:t>
      </w:r>
    </w:p>
    <w:p>
      <w:pPr>
        <w:pStyle w:val="Heading3"/>
      </w:pPr>
      <w:r>
        <w:t>（一）合同主体</w:t>
      </w:r>
    </w:p>
    <w:p>
      <w:r>
        <w:t>#### 检查要点 1.1：通过工商数据比对该签约主体是否存在重大涉法涉诉事项</w:t>
      </w:r>
    </w:p>
    <w:p>
      <w:pPr>
        <w:pStyle w:val="ListBullet"/>
      </w:pPr>
      <w:r>
        <w:t>**风险等级**：高</w:t>
      </w:r>
    </w:p>
    <w:p>
      <w:pPr>
        <w:pStyle w:val="ListBullet"/>
      </w:pPr>
      <w:r>
        <w:t>**审查结论**：合同未设置任何条款要求签约主体披露、承诺或保证其涉法涉诉状况，亦未将司法风险核查作为合同生效或履约前提；乙方腾讯云计算(北京)有限责任公司公开司法案件达229件，显著超出技术服务类企业合理诉讼频次，构成实质性信用与履约能力风险。</w:t>
      </w:r>
    </w:p>
    <w:p>
      <w:pPr>
        <w:pStyle w:val="ListBullet"/>
      </w:pPr>
      <w:r>
        <w:t>**原文引用**：</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r>
        <w:t>&gt; 账户：腾讯云计算（北京）有限责任公司</w:t>
      </w:r>
    </w:p>
    <w:p>
      <w:r>
        <w:t>&gt; 开户银行：招商银行北京分行上地支行</w:t>
      </w:r>
    </w:p>
    <w:p>
      <w:r>
        <w:t>&gt; 账号：110907316810601</w:t>
      </w:r>
    </w:p>
    <w:p>
      <w:pPr>
        <w:pStyle w:val="ListBullet"/>
      </w:pPr>
      <w:r>
        <w:t>**所在位置**：合同首部“乙方”基本信息段落</w:t>
      </w:r>
    </w:p>
    <w:p>
      <w:pPr>
        <w:pStyle w:val="ListBullet"/>
      </w:pPr>
      <w:r>
        <w:t>**问题分析**：合同全文未定义“重大涉法涉诉”标准，未设定乙方涉诉情形下的信息披露义务、甲方单方解约权、履约担保机制或违约救济安排；亦未对甲方（浙江农村商业联合银行股份有限公司）的金融监管合规状态作出说明或承诺。乙方在企查查平台显示司法案件229件、裁判文书101件、立案信息88件、开庭公告245件，高频涉诉事实未被识别、评估或缓释，违反审慎缔约原则。</w:t>
      </w:r>
    </w:p>
    <w:p>
      <w:pPr>
        <w:pStyle w:val="ListBullet"/>
      </w:pPr>
      <w:r>
        <w:t>**法律依据**：</w:t>
      </w:r>
    </w:p>
    <w:p>
      <w:pPr>
        <w:pStyle w:val="ListBullet"/>
      </w:pPr>
      <w:r>
        <w:t>《中华人民共和国民法典》第五百零九条：“当事人应当按照约定全面履行自己的义务。当事人应当遵循诚信原则，根据合同的性质、目的和交易习惯履行通知、协助、保密等义务。”</w:t>
      </w:r>
    </w:p>
    <w:p>
      <w:pPr>
        <w:pStyle w:val="ListBullet"/>
      </w:pPr>
      <w:r>
        <w:t>《中华人民共和国政府采购法》第二十二条：“供应商参加政府采购活动应当具备下列条件：……（二）具有良好的商业信誉和健全的财务会计制度……”</w:t>
      </w:r>
    </w:p>
    <w:p>
      <w:pPr>
        <w:pStyle w:val="ListBullet"/>
      </w:pPr>
      <w:r>
        <w:t>财政部《政府采购需求管理办法》（财库〔2021〕22号）第十二条：“采购人应当对供应商的履约能力、信用状况等进行尽职调查。”</w:t>
      </w:r>
    </w:p>
    <w:p>
      <w:pPr>
        <w:pStyle w:val="ListBullet"/>
      </w:pPr>
      <w:r>
        <w:t>**修改建议**：</w:t>
      </w:r>
    </w:p>
    <w:p>
      <w:r>
        <w:t>&gt; 第X条 【签约主体资信与重大涉法涉诉披露义务】</w:t>
      </w:r>
    </w:p>
    <w:p>
      <w:r>
        <w:t>&gt; 双方承诺并保证：截至本合同签署日，不存在尚未了结的、标的额超过人民币【500】万元的诉讼、仲裁案件；不存在被列为失信被执行人、限制高消费对象，或因重大违法违规行为受到行政机关重大行政处罚的情形。乙方应于本合同签署前向甲方提供加盖公章的《无重大涉诉及失信声明》（附件X）。如任一方在合同履行期间发生前述情形，应于知悉后【3】个工作日内书面通知对方。如乙方违反本条承诺，甲方有权立即解除本合同，并要求乙方支付合同总金额【10%】的违约金；如甲方发生上述情形且影响其履约能力的，乙方有权暂停履行本合同项下付款义务，直至甲方提供有效整改证明。</w:t>
      </w:r>
    </w:p>
    <w:p>
      <w:r>
        <w:t>#### 检查要点 1.2：核对经营范围，合同标的是否在经营范围之内</w:t>
      </w:r>
    </w:p>
    <w:p>
      <w:pPr>
        <w:pStyle w:val="ListBullet"/>
      </w:pPr>
      <w:r>
        <w:t>**风险等级**：中</w:t>
      </w:r>
    </w:p>
    <w:p>
      <w:pPr>
        <w:pStyle w:val="ListBullet"/>
      </w:pPr>
      <w:r>
        <w:t>**审查结论**：合同标的“互联网类系统CDN加速服务”属于第一类增值电信业务中的内容分发网络（CDN）业务，乙方虽经公开渠道核查确持有有效B1类电信业务经营许可证（证号：B1-20130326），但合同文本未载明该许可证信息，无法从合同本身直接验证其经营范围覆盖本合同标的，存在资质证明形式瑕疵及履约依据不足的风险。</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r>
        <w:t>&gt;</w:t>
      </w:r>
    </w:p>
    <w:p>
      <w:r>
        <w:t>&gt; 账户：腾讯云计算（北京）有限责任公司</w:t>
      </w:r>
    </w:p>
    <w:p>
      <w:r>
        <w:t>&gt;</w:t>
      </w:r>
    </w:p>
    <w:p>
      <w:r>
        <w:t>&gt; 开户银行：招商银行北京分行上地支行</w:t>
      </w:r>
    </w:p>
    <w:p>
      <w:r>
        <w:t>&gt;</w:t>
      </w:r>
    </w:p>
    <w:p>
      <w:r>
        <w:t>&gt; 账号：110907316810601</w:t>
      </w:r>
    </w:p>
    <w:p>
      <w:pPr>
        <w:pStyle w:val="ListBullet"/>
      </w:pPr>
      <w:r>
        <w:t>**所在位置**：合同首部乙方主体信息部分</w:t>
      </w:r>
    </w:p>
    <w:p>
      <w:pPr>
        <w:pStyle w:val="ListBullet"/>
      </w:pPr>
      <w:r>
        <w:t>**问题分析**：合同仅列示乙方名称、统一社会信用代码等基础工商信息，未体现其从事CDN业务所必需的《电信业务经营许可证》编号及有效期。该缺失导致合同相对方无法仅凭文本确认乙方持续具备开展本合同项下服务的法定资质，亦不利于发生争议时快速举证其履约能力与合规性，构成形式要件不完整。</w:t>
      </w:r>
    </w:p>
    <w:p>
      <w:pPr>
        <w:pStyle w:val="ListBullet"/>
      </w:pPr>
      <w:r>
        <w:t>**法律依据**：</w:t>
      </w:r>
    </w:p>
    <w:p>
      <w:pPr>
        <w:pStyle w:val="ListBullet"/>
      </w:pPr>
      <w:r>
        <w:t>《中华人民共和国电信条例》第七条：“国家对电信业务经营按照电信业务分类，实行许可制度。经营电信业务，必须依照本条例的规定取得国务院信息产业主管部门或者省、自治区、直辖市电信管理机构颁发的电信业务经营许可证。”</w:t>
      </w:r>
    </w:p>
    <w:p>
      <w:pPr>
        <w:pStyle w:val="ListBullet"/>
      </w:pPr>
      <w:r>
        <w:t>《电信业务经营许可管理办法》第三条：“经营电信业务，应当依法取得电信管理机构颁发的电信业务经营许可证。”</w:t>
      </w:r>
    </w:p>
    <w:p>
      <w:pPr>
        <w:pStyle w:val="ListBullet"/>
      </w:pPr>
      <w:r>
        <w:t>《民法典》第五百零二条：“依法成立的合同，自成立时生效……法律、行政法规规定应当办理批准、登记等手续生效的，依照其规定。”（注：CDN业务属需持证经营的特许业务，许可资质系合同履行的前提条件）</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r>
        <w:t>&gt;</w:t>
      </w:r>
    </w:p>
    <w:p>
      <w:r>
        <w:t>&gt; 电信业务经营许可证号：B1-20130326（有效期至：______年____月____日）</w:t>
      </w:r>
    </w:p>
    <w:p>
      <w:r>
        <w:t>&gt;</w:t>
      </w:r>
    </w:p>
    <w:p>
      <w:r>
        <w:t>&gt; 账户：腾讯云计算（北京）有限责任公司</w:t>
      </w:r>
    </w:p>
    <w:p>
      <w:r>
        <w:t>&gt;</w:t>
      </w:r>
    </w:p>
    <w:p>
      <w:r>
        <w:t>&gt; 开户银行：招商银行北京分行上地支行</w:t>
      </w:r>
    </w:p>
    <w:p>
      <w:r>
        <w:t>&gt;</w:t>
      </w:r>
    </w:p>
    <w:p>
      <w:r>
        <w:t>&gt; 账号：110907316810601</w:t>
      </w:r>
    </w:p>
    <w:p>
      <w:r>
        <w:t>#### 检查要点 1.3：合同提供信息是否齐全，是否与工商登记一致，包括联系地址、联系电话、传真、法定代表人或负责人、联系人等信息</w:t>
      </w:r>
    </w:p>
    <w:p>
      <w:pPr>
        <w:pStyle w:val="ListBullet"/>
      </w:pPr>
      <w:r>
        <w:t>**风险等级**：高</w:t>
      </w:r>
    </w:p>
    <w:p>
      <w:pPr>
        <w:pStyle w:val="ListBullet"/>
      </w:pPr>
      <w:r>
        <w:t>**审查结论**：合同首部信息存在多项缺失与不一致情形，影响合同主体识别、法律文书送达及日常联络效力，构成实质性履约与合规风险</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**所在位置**：合同首部当事人信息栏</w:t>
      </w:r>
    </w:p>
    <w:p>
      <w:pPr>
        <w:pStyle w:val="ListBullet"/>
      </w:pPr>
      <w:r>
        <w:t>**问题分析**：</w:t>
      </w:r>
    </w:p>
    <w:p>
      <w:r>
        <w:t>1. 合同未载明甲乙双方“法定代表人或负责人”信息，不符合《公司法》关于合同签署主体资格确认的基本要求；</w:t>
      </w:r>
    </w:p>
    <w:p>
      <w:r>
        <w:t>2. 合同完全缺失“传真”字段，虽非法定必备条款，但在电子送达受限或需留痕存证场景下，传真仍为重要辅助联系方式，缺失将削弱通知有效性；</w:t>
      </w:r>
    </w:p>
    <w:p>
      <w:r>
        <w:t>3. 甲方联系电话（0571-56929972）与公开渠道可验证的官方客服电话（400-88-96596、96596）不一致，可能影响紧急联络及争议响应时效；</w:t>
      </w:r>
    </w:p>
    <w:p>
      <w:r>
        <w:t>4. 乙方联系电话（010-82173652）与工商登记公示电话（4009100100）不符，且未说明该号码用途（如业务专线），易引发履约沟通障碍；</w:t>
      </w:r>
    </w:p>
    <w:p>
      <w:r>
        <w:t>5. 乙方法定代表人信息虽可查证为李强，但合同中未列明，导致签约主体与登记主体关联性存疑；</w:t>
      </w:r>
    </w:p>
    <w:p>
      <w:r>
        <w:t>6. 甲方法定代表人信息全然缺失，且经公开渠道检索未能核实具体姓名，构成主体身份不确定性风险。</w:t>
      </w:r>
    </w:p>
    <w:p>
      <w:pPr>
        <w:pStyle w:val="ListBullet"/>
      </w:pPr>
      <w:r>
        <w:t>**法律依据**：</w:t>
      </w:r>
    </w:p>
    <w:p>
      <w:pPr>
        <w:pStyle w:val="ListBullet"/>
      </w:pPr>
      <w:r>
        <w:t>《民法典》第四百七十条：合同一般应包括当事人的名称或者名称和住所，虽未强制列举法定代表人、传真等，但结合《公司法》第七条、第十三条及《最高人民法院关于适用〈中华人民共和国民事诉讼法〉的解释》第五十条，法定代表人信息系确认签约权限、诉讼主体适格及法律文书有效送达的关键要素；</w:t>
      </w:r>
    </w:p>
    <w:p>
      <w:pPr>
        <w:pStyle w:val="ListBullet"/>
      </w:pPr>
      <w:r>
        <w:t>《电子签名法》第九条、第十条：合同中明确有效的联系方式（含电话、传真、邮箱）是电子数据交换、通知送达及证据固定的重要基础；</w:t>
      </w:r>
    </w:p>
    <w:p>
      <w:pPr>
        <w:pStyle w:val="ListBullet"/>
      </w:pPr>
      <w:r>
        <w:t>商业惯例及司法实践普遍将完整、准确的主体联络信息视为合同成立与履行的前提条件。</w:t>
      </w:r>
    </w:p>
    <w:p>
      <w:pPr>
        <w:pStyle w:val="ListBullet"/>
      </w:pPr>
      <w:r>
        <w:t>**修改建议**：</w:t>
      </w:r>
    </w:p>
    <w:p>
      <w:r>
        <w:t>&gt; 甲方：浙江农村商业联合银行股份有限公司</w:t>
      </w:r>
    </w:p>
    <w:p>
      <w:r>
        <w:t>&gt;</w:t>
      </w:r>
    </w:p>
    <w:p>
      <w:r>
        <w:t>&gt; 地址：杭州市上城区秋涛路660号</w:t>
      </w:r>
    </w:p>
    <w:p>
      <w:r>
        <w:t>&gt;</w:t>
      </w:r>
    </w:p>
    <w:p>
      <w:r>
        <w:t>&gt; 电话：400-88-96596</w:t>
      </w:r>
    </w:p>
    <w:p>
      <w:r>
        <w:t>&gt;</w:t>
      </w:r>
    </w:p>
    <w:p>
      <w:r>
        <w:t>&gt; 传真：________</w:t>
      </w:r>
    </w:p>
    <w:p>
      <w:r>
        <w:t>&gt;</w:t>
      </w:r>
    </w:p>
    <w:p>
      <w:r>
        <w:t>&gt; 邮编：311200</w:t>
      </w:r>
    </w:p>
    <w:p>
      <w:r>
        <w:t>&gt;</w:t>
      </w:r>
    </w:p>
    <w:p>
      <w:r>
        <w:t>&gt; 法定代表人：________（建议根据最新工商登记信息填写并加盖公章确认）</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电话：4009100100</w:t>
      </w:r>
    </w:p>
    <w:p>
      <w:r>
        <w:t>&gt;</w:t>
      </w:r>
    </w:p>
    <w:p>
      <w:r>
        <w:t>&gt; 传真：________</w:t>
      </w:r>
    </w:p>
    <w:p>
      <w:r>
        <w:t>&gt;</w:t>
      </w:r>
    </w:p>
    <w:p>
      <w:r>
        <w:t>&gt; 邮编：200233</w:t>
      </w:r>
    </w:p>
    <w:p>
      <w:r>
        <w:t>&gt;</w:t>
      </w:r>
    </w:p>
    <w:p>
      <w:r>
        <w:t>&gt; 法定代表人：李强</w:t>
      </w:r>
    </w:p>
    <w:p>
      <w:r>
        <w:t>&gt;</w:t>
      </w:r>
    </w:p>
    <w:p>
      <w:r>
        <w:t>&gt; 联系人：谭路</w:t>
      </w:r>
    </w:p>
    <w:p>
      <w:r>
        <w:t>&gt;</w:t>
      </w:r>
    </w:p>
    <w:p>
      <w:r>
        <w:t>&gt; 邮箱地址：jackylutan@tencent.com</w:t>
      </w:r>
    </w:p>
    <w:p>
      <w:r>
        <w:t>&gt;</w:t>
      </w:r>
    </w:p>
    <w:p>
      <w:r>
        <w:t>&gt; 统一社会信用代码：911101085636549482</w:t>
      </w:r>
    </w:p>
    <w:p>
      <w:r>
        <w:t>#### 检查要点 1.4：购买软件等产品，是否有核心知识产权</w:t>
      </w:r>
    </w:p>
    <w:p>
      <w:pPr>
        <w:pStyle w:val="ListBullet"/>
      </w:pPr>
      <w:r>
        <w:t>**风险等级**：高</w:t>
      </w:r>
    </w:p>
    <w:p>
      <w:pPr>
        <w:pStyle w:val="ListBullet"/>
      </w:pPr>
      <w:r>
        <w:t>**审查结论**：合同未赋予甲方对所购CDN服务中涉及的核心技术（如智能调度算法、边缘计算逻辑、缓存一致性机制、HTTPS全链路加密实现等）的任何知识产权权益；甲方仅被授予有限、非排他、不可转让的使用权，且明确禁止反向工程、反编译、提取源代码及创建衍生作品，导致甲方在技术自主可控、安全审计、长期运维及国产化替代等方面存在重大合规与运营风险。</w:t>
      </w:r>
    </w:p>
    <w:p>
      <w:pPr>
        <w:pStyle w:val="ListBullet"/>
      </w:pPr>
      <w:r>
        <w:t>**原文引用**：</w:t>
      </w:r>
    </w:p>
    <w:p>
      <w:r>
        <w:t>&gt; 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 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第一条 1.4（a）：甲方不得，且不得允许甲方的关联方、雇员和服务提供商以及受甲方管理、监督或以其它方式受甲方控制的任何第三方：对腾讯云提供的服务进行复制、修改、创建衍生作品、反向工程、反编译、翻译、分解或以其他方式尝试提取服务的任何或所有源代码……</w:t>
      </w:r>
    </w:p>
    <w:p>
      <w:pPr>
        <w:pStyle w:val="ListBullet"/>
      </w:pPr>
      <w:r>
        <w:t>**所在位置**：第七条第7.1、7.2款；附件六第一条第1.4（a）款</w:t>
      </w:r>
    </w:p>
    <w:p>
      <w:pPr>
        <w:pStyle w:val="ListBullet"/>
      </w:pPr>
      <w:r>
        <w:t>**问题分析**：</w:t>
      </w:r>
    </w:p>
    <w:p>
      <w:pPr>
        <w:pStyle w:val="ListBullet"/>
      </w:pPr>
      <w:r>
        <w:t>合同未就甲方定制化配置、策略规则、API集成接口、安全加固补丁等实际由甲方主导定义或深度参与形成的成果约定权属，全部归于腾讯云所有，剥夺甲方对“甲方定制成果”的所有权与处置权；</w:t>
      </w:r>
    </w:p>
    <w:p>
      <w:pPr>
        <w:pStyle w:val="ListBullet"/>
      </w:pPr>
      <w:r>
        <w:t>明确禁止反向工程、反编译及源代码提取，使甲方无法验证服务安全性、开展漏洞分析、实施信创适配或构建独立灾备能力；</w:t>
      </w:r>
    </w:p>
    <w:p>
      <w:pPr>
        <w:pStyle w:val="ListBullet"/>
      </w:pPr>
      <w:r>
        <w:t>附件六将“创建衍生作品”“分解”列为绝对禁止行为，实质性排除甲方基于腾讯云服务开展二次开发、安全增强、国产化迁移等必要技术活动；</w:t>
      </w:r>
    </w:p>
    <w:p>
      <w:pPr>
        <w:pStyle w:val="ListBullet"/>
      </w:pPr>
      <w:r>
        <w:t>在金融行业关键信息基础设施监管背景下，该条款导致甲方丧失对核心技术环节的掌控力，违反“自主可控、安全可信、可审计、可替代”的监管实质要求，构成持续性合规隐患与供应链安全风险。</w:t>
      </w:r>
    </w:p>
    <w:p>
      <w:pPr>
        <w:pStyle w:val="ListBullet"/>
      </w:pPr>
      <w:r>
        <w:t>**法律依据**：</w:t>
      </w:r>
    </w:p>
    <w:p>
      <w:pPr>
        <w:pStyle w:val="ListBullet"/>
      </w:pPr>
      <w:r>
        <w:t>《中华人民共和国网络安全法》第三十八条：关键信息基础设施运营者采购网络产品和服务，应签订安全保密协议，明确安全和保密义务与责任；</w:t>
      </w:r>
    </w:p>
    <w:p>
      <w:pPr>
        <w:pStyle w:val="ListBullet"/>
      </w:pPr>
      <w:r>
        <w:t>《关键信息基础设施安全保护条例》第十九条：运营者应优先采购安全可信的网络产品和服务，不得采购未经安全审查或审查未通过的产品和服务；</w:t>
      </w:r>
    </w:p>
    <w:p>
      <w:pPr>
        <w:pStyle w:val="ListBullet"/>
      </w:pPr>
      <w:r>
        <w:t>《金融行业网络安全等级保护实施指引》（JR/T 0072—2020）第5.3.2条：三级及以上系统应确保核心技术、关键设备、关键算法具备自主可控能力；</w:t>
      </w:r>
    </w:p>
    <w:p>
      <w:pPr>
        <w:pStyle w:val="ListBullet"/>
      </w:pPr>
      <w:r>
        <w:t>工信部《“十四五”软件和信息技术服务业发展规划》：强调推动基础软件、工业软件、平台软件等关键核心软件自主可控。</w:t>
      </w:r>
    </w:p>
    <w:p>
      <w:pPr>
        <w:pStyle w:val="ListBullet"/>
      </w:pPr>
      <w:r>
        <w:t>**修改建议**：</w:t>
      </w:r>
    </w:p>
    <w:p>
      <w:r>
        <w:t>&gt; 7.2 修改为：“腾讯云保留本协议项下服务成果和服务衍生品的原始知识产权；但就本合同项下为甲方定制开发或深度适配的配置模块、策略规则、API集成接口、安全加固补丁等成果（以下简称‘甲方定制成果’），其知识产权归甲方单独所有。腾讯云应向甲方提供甲方定制成果的完整源代码、技术文档及部署说明，并授权甲方永久、不可撤销、免许可费、可再许可的使用权，允许甲方在自有环境中独立部署、修改、维护及迁移。”</w:t>
      </w:r>
    </w:p>
    <w:p>
      <w:r>
        <w:t>&gt;</w:t>
      </w:r>
    </w:p>
    <w:p>
      <w:r>
        <w:t>&gt; 新增7.4款：“对于本协议项下CDN服务所依赖的核心技术组件（包括但不限于智能路由算法、边缘节点缓存策略引擎、HTTPS全链路零信任实现机制），腾讯云应向甲方提供经脱敏处理的技术白皮书及安全审计接口规范，并配合甲方开展年度第三方源代码级安全审计。如甲方提出合理需求，腾讯云应在商业可行前提下，向甲方开放非涉密核心模块的二进制可执行文件及符号表，支持甲方完成信创环境适配验证。”</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未设立“主要项目负责人”专门角色，亦未在正文、附件或补充条款中明确其职责、任命方式或法律地位；首部所列“联系人”不等同于项目负责人，且仅提供姓名与邮箱，缺失身份证号码及有效联系电话，信息预留不完整，不符合政府采购监管要求。</w:t>
      </w:r>
    </w:p>
    <w:p>
      <w:pPr>
        <w:pStyle w:val="ListBullet"/>
      </w:pPr>
      <w:r>
        <w:t>**原文引用**：</w:t>
      </w:r>
    </w:p>
    <w:p>
      <w:r>
        <w:t>&gt; 联系人：裘竹青</w:t>
      </w:r>
    </w:p>
    <w:p>
      <w:r>
        <w:t>&gt;</w:t>
      </w:r>
    </w:p>
    <w:p>
      <w:r>
        <w:t>&gt; 邮箱地址：kjc_ztb@zjrcu.com</w:t>
      </w:r>
    </w:p>
    <w:p>
      <w:r>
        <w:t>&gt;</w:t>
      </w:r>
    </w:p>
    <w:p>
      <w:r>
        <w:t>&gt; 联系人：谭路</w:t>
      </w:r>
    </w:p>
    <w:p>
      <w:r>
        <w:t>&gt;</w:t>
      </w:r>
    </w:p>
    <w:p>
      <w:r>
        <w:t>&gt; 邮箱地址：jackylutan@tencent.com</w:t>
      </w:r>
    </w:p>
    <w:p>
      <w:pPr>
        <w:pStyle w:val="ListBullet"/>
      </w:pPr>
      <w:r>
        <w:t>**所在位置**：合同首部（甲乙双方基本信息栏）</w:t>
      </w:r>
    </w:p>
    <w:p>
      <w:pPr>
        <w:pStyle w:val="ListBullet"/>
      </w:pPr>
      <w:r>
        <w:t>**问题分析**：</w:t>
      </w:r>
    </w:p>
    <w:p>
      <w:pPr>
        <w:pStyle w:val="ListBullet"/>
      </w:pPr>
      <w:r>
        <w:t>合同全文未定义“主要项目负责人”概念，未设置对应权责条款，缺乏项目执行层面的责任锚点，影响履约过程中的指令传达、进度管控与责任追溯；</w:t>
      </w:r>
    </w:p>
    <w:p>
      <w:pPr>
        <w:pStyle w:val="ListBullet"/>
      </w:pPr>
      <w:r>
        <w:t>所列联系人信息不满足《政府采购货物和服务招标投标管理办法》第十三条关于“采购项目联系人姓名和电话”的法定披露要求；</w:t>
      </w:r>
    </w:p>
    <w:p>
      <w:pPr>
        <w:pStyle w:val="ListBullet"/>
      </w:pPr>
      <w:r>
        <w:t>身份证号码属于《个人信息保护法》第二十九条规定的敏感个人信息，未经项目负责人本人单独同意不得收集，当前合同既未预留该信息，亦未设置合规获取机制，存在个人信息处理违法风险。</w:t>
      </w:r>
    </w:p>
    <w:p>
      <w:pPr>
        <w:pStyle w:val="ListBullet"/>
      </w:pPr>
      <w:r>
        <w:t>**法律依据**：</w:t>
      </w:r>
    </w:p>
    <w:p>
      <w:pPr>
        <w:pStyle w:val="ListBullet"/>
      </w:pPr>
      <w:r>
        <w:t>《政府采购货物和服务招标投标管理办法》（财政部令第87号）第十三条：“招标文件应当包括……（八）采购项目联系人姓名和电话”；</w:t>
      </w:r>
    </w:p>
    <w:p>
      <w:pPr>
        <w:pStyle w:val="ListBullet"/>
      </w:pPr>
      <w:r>
        <w:t>《中华人民共和国个人信息保护法》第十三条第一项：“取得个人的同意”为处理个人信息的合法性基础之一；</w:t>
      </w:r>
    </w:p>
    <w:p>
      <w:pPr>
        <w:pStyle w:val="ListBullet"/>
      </w:pPr>
      <w:r>
        <w:t>《中华人民共和国个人信息保护法》第二十九条：“处理敏感个人信息应当取得个人的单独同意”。</w:t>
      </w:r>
    </w:p>
    <w:p>
      <w:pPr>
        <w:pStyle w:val="ListBullet"/>
      </w:pPr>
      <w:r>
        <w:t>**修改建议**：</w:t>
      </w:r>
    </w:p>
    <w:p>
      <w:r>
        <w:t>&gt; 甲方主要项目负责人：________（姓名），身份证号码：__________________（须在签署本合同前取得其书面单独同意，并留存授权文件），联系电话：__________________；</w:t>
      </w:r>
    </w:p>
    <w:p>
      <w:r>
        <w:t>&gt;</w:t>
      </w:r>
    </w:p>
    <w:p>
      <w:r>
        <w:t>&gt; 乙方主要项目负责人：________（姓名），身份证号码：__________________（须在签署本合同前取得其书面单独同意，并留存授权文件），联系电话：__________________；</w:t>
      </w:r>
    </w:p>
    <w:p>
      <w:r>
        <w:t>&gt;</w:t>
      </w:r>
    </w:p>
    <w:p>
      <w:r>
        <w:t>&gt; 【说明】根据《个人信息保护法》第二十九条，身份证号码属于敏感个人信息，收集前应向项目负责人明示处理目的、方式、必要性及拒绝后果，并获得其书面单独同意；建议在合同附件中同步配置《个人信息处理授权书》模板。</w:t>
      </w:r>
    </w:p>
    <w:p>
      <w:r>
        <w:t>#### 检查要点 2.2：采购内容：品种、规格、型号、等级、花色等应具体注明，必要时可通过附件说明标的物的实际情况</w:t>
      </w:r>
    </w:p>
    <w:p>
      <w:pPr>
        <w:pStyle w:val="ListBullet"/>
      </w:pPr>
      <w:r>
        <w:t>**风险等级**：中</w:t>
      </w:r>
    </w:p>
    <w:p>
      <w:pPr>
        <w:pStyle w:val="ListBullet"/>
      </w:pPr>
      <w:r>
        <w:t>**审查结论**：合同未明确约定CDN服务、对象存储服务及APP内升级加速服务的具体产品型号、技术规格、性能参数、等级标准等关键要素，仅笼统描述服务类型与计费方式，导致标的物无法特定化，不符合法定合同要素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**所在位置**：附件一“合同内容清单”第一部分“产品优惠报价”</w:t>
      </w:r>
    </w:p>
    <w:p>
      <w:pPr>
        <w:pStyle w:val="ListBullet"/>
      </w:pPr>
      <w:r>
        <w:t>**问题分析**：合同正文及附件均未载明所采购技术服务对应的具体产品型号、版本号、技术指标（如节点数量、带宽能力、缓存命中率、协议支持、加密标准、QPS、持久性、可用性等），亦未说明服务等级（如SLA承诺值）、适用场景限制或兼容性要求。此类缺失将导致履约边界不清、验收标准模糊、争议发生时难以界定责任，影响合同可执行性与司法可认定性。</w:t>
      </w:r>
    </w:p>
    <w:p>
      <w:pPr>
        <w:pStyle w:val="ListBullet"/>
      </w:pPr>
      <w:r>
        <w:t>**法律依据**：《中华人民共和国民法典》第五百九十六条：“买卖合同的内容一般包括标的物的名称、数量、质量、价款或者报酬、履行期限、地点和方式、违约责任、解决争议的方法等条款。”虽本合同属技术服务采购，但参照该条关于“质量”及“标的物特定化”的立法精神，以及《民法典》第五百零九条关于“当事人应当按照约定全面履行自己的义务”之规定，服务内容须具备可识别性、可验证性与可衡量性，方能构成有效合同标的。</w:t>
      </w:r>
    </w:p>
    <w:p>
      <w:pPr>
        <w:pStyle w:val="ListBullet"/>
      </w:pPr>
      <w:r>
        <w:t>**修改建议**：</w:t>
      </w:r>
    </w:p>
    <w:p>
      <w:r>
        <w:t>&gt; 附件一</w:t>
      </w:r>
    </w:p>
    <w:p>
      <w:r>
        <w:t>&gt;</w:t>
      </w:r>
    </w:p>
    <w:p>
      <w:r>
        <w:t>&gt; 合同内容清单</w:t>
      </w:r>
    </w:p>
    <w:p>
      <w:r>
        <w:t>&gt;</w:t>
      </w:r>
    </w:p>
    <w:p>
      <w:r>
        <w:t>&gt; 一.产品规格与技术参数</w:t>
      </w:r>
    </w:p>
    <w:p>
      <w:r>
        <w:t>&gt;</w:t>
      </w:r>
    </w:p>
    <w:p>
      <w:r>
        <w:t>&gt; （1）CDN网站加速服务</w:t>
      </w:r>
    </w:p>
    <w:p>
      <w:r>
        <w:t>&gt;</w:t>
      </w:r>
    </w:p>
    <w:p>
      <w:r>
        <w:t>&gt; 产品型号：腾讯云CDN Standard Edition V3.0</w:t>
      </w:r>
    </w:p>
    <w:p>
      <w:r>
        <w:t>&gt;</w:t>
      </w:r>
    </w:p>
    <w:p>
      <w:r>
        <w:t>&gt; 规格参数：支持全球2800+节点，单节点带宽≥10Gbps，缓存命中率≥95%，SSL/TLS加密支持TLS 1.2/1.3，支持HTTP/2和HTTP/3协议，支持泛域名证书，支持自定义缓存规则（按文件类型、URL路径、HTTP头等维度配置）；SLA保障：可用性≥99.95%，故障响应时间≤15分钟，问题解决时效≤4小时。</w:t>
      </w:r>
    </w:p>
    <w:p>
      <w:r>
        <w:t>&gt;</w:t>
      </w:r>
    </w:p>
    <w:p>
      <w:r>
        <w:t>&gt; （2）对象存储服务</w:t>
      </w:r>
    </w:p>
    <w:p>
      <w:r>
        <w:t>&gt;</w:t>
      </w:r>
    </w:p>
    <w:p>
      <w:r>
        <w:t>&gt; 产品型号：腾讯云COS Standard Storage V2.0</w:t>
      </w:r>
    </w:p>
    <w:p>
      <w:r>
        <w:t>&gt;</w:t>
      </w:r>
    </w:p>
    <w:p>
      <w:r>
        <w:t>&gt; 规格参数：存储容量≥100TB，读写请求QPS≥10000，数据持久性≥99.999999999%（11个9），可用性≥99.99%；支持跨区域复制、静态网站托管、细粒度访问控制（RAM Policy）、服务端加密（SSE-KMS）。</w:t>
      </w:r>
    </w:p>
    <w:p>
      <w:r>
        <w:t>&gt;</w:t>
      </w:r>
    </w:p>
    <w:p>
      <w:r>
        <w:t>&gt; （3）CDN APP内应用升级加速服务</w:t>
      </w:r>
    </w:p>
    <w:p>
      <w:r>
        <w:t>&gt;</w:t>
      </w:r>
    </w:p>
    <w:p>
      <w:r>
        <w:t>&gt; 产品型号：腾讯云CDN Mobile Acceleration V2.0</w:t>
      </w:r>
    </w:p>
    <w:p>
      <w:r>
        <w:t>&gt;</w:t>
      </w:r>
    </w:p>
    <w:p>
      <w:r>
        <w:t>&gt; 规格参数：支持APK/IPA文件智能分片下载、断点续传、P2P加速，下载速度提升≥300%；支持灰度发布、AB测试、热更新通道隔离；SLA保障：首屏加载延迟≤300ms（95分位），失败率≤0.1%。</w:t>
      </w:r>
    </w:p>
    <w:p>
      <w:r>
        <w:t>#### 检查要点 2.3：合同金额：数量、价款要明确，包括数额的计量单位，同时写明标的物的单价、总价，币种等</w:t>
      </w:r>
    </w:p>
    <w:p>
      <w:pPr>
        <w:pStyle w:val="ListBullet"/>
      </w:pPr>
      <w:r>
        <w:t>**风险等级**：高</w:t>
      </w:r>
    </w:p>
    <w:p>
      <w:pPr>
        <w:pStyle w:val="ListBullet"/>
      </w:pPr>
      <w:r>
        <w:t>**审查结论**：合同虽在第十四条第14.2款中明确结算货币为人民币，但未在正文或附件中载明具体单价、总价、数量及对应计量单位；附件一中多次使用“价格如下所示”“阶梯价格如下所示”“价格如下”等引导性表述，却未实际列示任何价格数据，导致合同金额条款严重缺失、不具可执行性，违反《民法典》第五百九十六条关于买卖合同必须包含明确价款的强制性规定。</w:t>
      </w:r>
    </w:p>
    <w:p>
      <w:pPr>
        <w:pStyle w:val="ListBullet"/>
      </w:pPr>
      <w:r>
        <w:t>**原文引用**：</w:t>
      </w:r>
    </w:p>
    <w:p>
      <w:r>
        <w:t>&gt; 第十四条 14.2 除非另有说明，本协议正文及其附件中所有的“天”均为自然日，结算货币均为人民币。</w:t>
      </w:r>
    </w:p>
    <w:p>
      <w:r>
        <w:t>&gt;</w:t>
      </w:r>
    </w:p>
    <w:p>
      <w:r>
        <w:t>&gt; 附件一</w:t>
      </w:r>
    </w:p>
    <w:p>
      <w:r>
        <w:t>&gt;</w:t>
      </w:r>
    </w:p>
    <w:p>
      <w:r>
        <w:t>&gt; 一.产品优惠报价</w:t>
      </w:r>
    </w:p>
    <w:p>
      <w:r>
        <w:t>&gt;</w:t>
      </w:r>
    </w:p>
    <w:p>
      <w:r>
        <w:t>&gt; （1）CDN网站加速费用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 对象存储用于存放APP升级包使用。该部分费用分为三部分：标准存储容量包，CDN回源流量包，标准存储读写请求。价格如下：</w:t>
      </w:r>
    </w:p>
    <w:p>
      <w:r>
        <w:t>&gt;</w:t>
      </w:r>
    </w:p>
    <w:p>
      <w:r>
        <w:t>&gt; （3）CDN APP内应用升级加速费用</w:t>
      </w:r>
    </w:p>
    <w:p>
      <w:r>
        <w:t>&gt; 用于丰收互联APP内部更新、内应用升级，使用流量包方式一次性购买。</w:t>
      </w:r>
    </w:p>
    <w:p>
      <w:r>
        <w:t>&gt; CDN境内流量包定价：</w:t>
      </w:r>
    </w:p>
    <w:p>
      <w:pPr>
        <w:pStyle w:val="ListBullet"/>
      </w:pPr>
      <w:r>
        <w:t>**所在位置**：第十四条第14.2款；附件一“合同内容清单”第一部分“产品优惠报价”</w:t>
      </w:r>
    </w:p>
    <w:p>
      <w:pPr>
        <w:pStyle w:val="ListBullet"/>
      </w:pPr>
      <w:r>
        <w:t>**问题分析**：合同金额构成要素（单价、数量、计量单位、总价）均未实际约定，仅以空白指引语（如“如下所示”）替代实质价格条款，致使合同缺乏确定性与可履行性。该等模糊表述无法支撑结算、履约、争议解决等关键环节，易引发付款义务不明、计费争议甚至合同效力瑕疵风险。</w:t>
      </w:r>
    </w:p>
    <w:p>
      <w:pPr>
        <w:pStyle w:val="ListBullet"/>
      </w:pPr>
      <w:r>
        <w:t>**法律依据**：《中华人民共和国民法典》第五百九十六条：“买卖合同的内容一般包括标的物的名称、数量、质量、价款、履行期限、履行地点和方式、包装方式、检验标准和方法、结算方式、合同使用的文字及其效力等条款。”其中，“价款”属于法定必备条款，须具体、明确、可量化。</w:t>
      </w:r>
    </w:p>
    <w:p>
      <w:pPr>
        <w:pStyle w:val="ListBullet"/>
      </w:pPr>
      <w:r>
        <w:t>**修改建议**：</w:t>
      </w:r>
    </w:p>
    <w:p>
      <w:r>
        <w:t>&gt; 第十四条 14.2 除非另有说明，本协议正文及其附件中所有的“天”均为自然日，结算货币均为人民币。</w:t>
      </w:r>
    </w:p>
    <w:p>
      <w:r>
        <w:t>&gt;</w:t>
      </w:r>
    </w:p>
    <w:p>
      <w:r>
        <w:t>&gt; 附件一</w:t>
      </w:r>
    </w:p>
    <w:p>
      <w:r>
        <w:t>&gt;</w:t>
      </w:r>
    </w:p>
    <w:p>
      <w:r>
        <w:t>&gt; 一.产品优惠报价</w:t>
      </w:r>
    </w:p>
    <w:p>
      <w:r>
        <w:t>&gt;</w:t>
      </w:r>
    </w:p>
    <w:p>
      <w:r>
        <w:t>&gt; （1）CDN网站加速费用</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w:t>
      </w:r>
    </w:p>
    <w:p>
      <w:r>
        <w:t>&gt;</w:t>
      </w:r>
    </w:p>
    <w:p>
      <w:r>
        <w:t>&gt; | 计费带宽区间（Mbps） | 单价（元/Mbps/月） |</w:t>
      </w:r>
    </w:p>
    <w:p>
      <w:r>
        <w:t>&gt; |-------------------|------------------|</w:t>
      </w:r>
    </w:p>
    <w:p>
      <w:r>
        <w:t>&gt; | 0–100             | ¥120.00          |</w:t>
      </w:r>
    </w:p>
    <w:p>
      <w:r>
        <w:t>&gt; | 101–500           | ¥100.00          |</w:t>
      </w:r>
    </w:p>
    <w:p>
      <w:r>
        <w:t>&gt; | 501–1000          | ¥85.00           |</w:t>
      </w:r>
    </w:p>
    <w:p>
      <w:r>
        <w:t>&gt; | 1001及以上        | ¥70.00           |</w:t>
      </w:r>
    </w:p>
    <w:p>
      <w:r>
        <w:t>&gt;</w:t>
      </w:r>
    </w:p>
    <w:p>
      <w:r>
        <w:t>&gt; （2）对象存储费用</w:t>
      </w:r>
    </w:p>
    <w:p>
      <w:r>
        <w:t>&gt; 对象存储用于存放APP升级包使用。该部分费用分为三部分：</w:t>
      </w:r>
    </w:p>
    <w:p>
      <w:r>
        <w:t>&gt; - 标准存储容量包：¥15.00/GB/月；</w:t>
      </w:r>
    </w:p>
    <w:p>
      <w:r>
        <w:t>&gt; - CDN回源流量包：¥0.35/GB；</w:t>
      </w:r>
    </w:p>
    <w:p>
      <w:r>
        <w:t>&gt; - 标准存储读写请求：¥0.0001/次。</w:t>
      </w:r>
    </w:p>
    <w:p>
      <w:r>
        <w:t>&gt;</w:t>
      </w:r>
    </w:p>
    <w:p>
      <w:r>
        <w:t>&gt; （3）CDN APP内应用升级加速费用</w:t>
      </w:r>
    </w:p>
    <w:p>
      <w:r>
        <w:t>&gt; 用于丰收互联APP内部更新、内应用升级，采用流量包方式一次性购买，具体规格及定价如下：</w:t>
      </w:r>
    </w:p>
    <w:p>
      <w:r>
        <w:t>&gt;</w:t>
      </w:r>
    </w:p>
    <w:p>
      <w:r>
        <w:t>&gt; | 流量包规格 | 单价（元/GB） | 有效期 |</w:t>
      </w:r>
    </w:p>
    <w:p>
      <w:r>
        <w:t>&gt; |----------|-------------|--------|</w:t>
      </w:r>
    </w:p>
    <w:p>
      <w:r>
        <w:t>&gt; | 1TB      | ¥0.25       | 12个月 |</w:t>
      </w:r>
    </w:p>
    <w:p>
      <w:r>
        <w:t>&gt; | 5TB      | ¥0.22       | 12个月 |</w:t>
      </w:r>
    </w:p>
    <w:p>
      <w:r>
        <w:t>&gt; | 10TB     | ¥0.20       | 12个月 |</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分阶段付款节点，缺乏以服务里程碑（如开通、上线、验收）为依据的付款确认机制；未约定免费维保期，亦未预留相应比例款项于维保期届满后支付；仅笼统约定“后付费”及“按账单结算”，无法有效约束乙方履约质量与维保义务履行。发票类型虽明确为增值税专用发票，但整体付款安排不符合技术服务类合同的风险防控惯例与行业实践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pPr>
        <w:pStyle w:val="ListBullet"/>
      </w:pPr>
      <w:r>
        <w:t>**所在位置**：附件一 合同内容清单 三、商务要求 第1点</w:t>
      </w:r>
    </w:p>
    <w:p>
      <w:pPr>
        <w:pStyle w:val="ListBullet"/>
      </w:pPr>
      <w:r>
        <w:t>**问题分析**：当前付款机制完全依赖乙方单方出具的周期性账单，缺乏与服务交付成果挂钩的客观确认节点（如系统开通证明、阶段性测试报告、最终验收签字等），导致甲方丧失对服务进度与质量的实质性管控权；同时，合同通篇未定义“免费维保期”概念，亦无对应服务标准、响应时效、违约责任及尾款释放条件等配套条款，使甲方在服务生命周期后期缺乏有效制衡手段，存在服务质量滑坡、故障响应迟滞、争议解决被动等现实风险。</w:t>
      </w:r>
    </w:p>
    <w:p>
      <w:pPr>
        <w:pStyle w:val="ListBullet"/>
      </w:pPr>
      <w:r>
        <w:t>**法律依据**：《民法典》第七百八十八条（建设工程合同关于价款支付与工程进度关联的原则）、第八百八十一条（技术服务合同报酬支付应与成果交付及质量保障相匹配）；参照《信息技术服务标准（ITSS）》第3部分《交付规范》第5.2条，要求“付款安排应与服务交付里程碑及维保承诺相绑定”。</w:t>
      </w:r>
    </w:p>
    <w:p>
      <w:pPr>
        <w:pStyle w:val="ListBullet"/>
      </w:pPr>
      <w:r>
        <w:t>**修改建议**：</w:t>
      </w:r>
    </w:p>
    <w:p>
      <w:r>
        <w:t>&gt; “本合同项下付款采用分阶段节点支付方式，具体如下：（1）合同生效且乙方完成全部服务开通配置，并经甲方书面确认后10个工作日内，支付合同总额的30%；（2）服务正式上线运行满30个自然日，通过甲方组织的初步验收（以签署《上线验收确认书》为准）后10个工作日内，支付合同总额的40%；（3）自服务正式上线运行之日起满12个月的免费维保期届满，且甲方出具《维保期满质量确认函》后10个工作日内，支付剩余30%合同尾款。乙方每次申请付款前，须向甲方开具等额合法有效的增值税专用发票；甲方在收到合规发票及对应节点确认文件后，按约定期限完成支付。”</w:t>
      </w:r>
    </w:p>
    <w:p>
      <w:r>
        <w:t>#### 检查要点 2.5：合同期限：约定具体的合同履行期限，可按照年度、季度、月、旬、日计算；同时，明确各期限的概念，如自然日或工作日、自然季度或从起始日开始计算至第三个月同一日的前一天等，避免模棱两可的语言</w:t>
      </w:r>
    </w:p>
    <w:p>
      <w:pPr>
        <w:pStyle w:val="ListBullet"/>
      </w:pPr>
      <w:r>
        <w:t>**风险等级**：中</w:t>
      </w:r>
    </w:p>
    <w:p>
      <w:pPr>
        <w:pStyle w:val="ListBullet"/>
      </w:pPr>
      <w:r>
        <w:t>**审查结论**：合同虽已明确起止日期（2025年9月1日至2028年8月31日），符合“按年度、月计算”的形式要求，但未对“年”“季度”“月”等时间单位的计算规则作出明示约定，仅在第十四条第14.2款单方面定义“天”为自然日，缺乏对其他时间单位的统一解释，易引发履约起止、节点计算及违约认定等方面的理解分歧。</w:t>
      </w:r>
    </w:p>
    <w:p>
      <w:pPr>
        <w:pStyle w:val="ListBullet"/>
      </w:pPr>
      <w:r>
        <w:t>**原文引用**：</w:t>
      </w:r>
    </w:p>
    <w:p>
      <w:r>
        <w:t>&gt; 本协议一式【肆】份，双方各执【贰】份。期限自【2025】年【9】月【1】日起至【2028】年【8】月【31】日止。</w:t>
      </w:r>
    </w:p>
    <w:p>
      <w:r>
        <w:t>&gt;</w:t>
      </w:r>
    </w:p>
    <w:p>
      <w:r>
        <w:t>&gt; 14.2 除非另有说明，本协议正文及其附件中所有的"天"均为自然日，结算货币均为人民币。</w:t>
      </w:r>
    </w:p>
    <w:p>
      <w:pPr>
        <w:pStyle w:val="ListBullet"/>
      </w:pPr>
      <w:r>
        <w:t>**所在位置**：附件一“合同内容清单”第四部分“协议期限”；主合同第十四条第14.2款</w:t>
      </w:r>
    </w:p>
    <w:p>
      <w:pPr>
        <w:pStyle w:val="ListBullet"/>
      </w:pPr>
      <w:r>
        <w:t>**问题分析**：合同未就“年”“季度”“月”的计算方式作出定义，尤其未回应审查标准中强调的“自然季度”或“自起始日起算至第三个月同一日的前一天”等典型表述；亦未说明是否存在闰年、月末无对应日（如1月31日之后的2月）等情形下的处理规则。尽管《民法典》第二百零二条提供了法定推定规则，但合同作为意思自治文件，应主动明确时间计算基准，以排除适用法律推定可能带来的解释不确定性与争议风险。</w:t>
      </w:r>
    </w:p>
    <w:p>
      <w:pPr>
        <w:pStyle w:val="ListBullet"/>
      </w:pPr>
      <w:r>
        <w:t>**法律依据**：《中华人民共和国民法典》第二百条：“民法所称的期间按照公历年、月、日、小时计算。” 第二百零二条：“按照年、月计算期间的，到期月的对应日为期间的最后一日；没有对应日的，月末日为期间的最后一日。”</w:t>
      </w:r>
    </w:p>
    <w:p>
      <w:pPr>
        <w:pStyle w:val="ListBullet"/>
      </w:pPr>
      <w:r>
        <w:t>**修改建议**：</w:t>
      </w:r>
    </w:p>
    <w:p>
      <w:r>
        <w:t>&gt; 本协议一式【肆】份，双方各执【贰】份。期限自【2025】年【9】月【1】日起至【2028】年【8】月【31】日止。本协议所称“年”“季度”“月”均按公历自然年、自然季度、自然月计算；按照年、月计算期间的，到期月的对应日为期间的最后一日；没有对应日的，月末日为期间的最后一日。本协议所称“日”均为自然日，“工作日”指除国务院公布的法定节假日及星期六、星期日以外的日期。</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严重结构性缺陷与核心条款缺失：标题编号直接从“第十四条”起始，第一至第十三条款完全缺位，属标题顺序严重杂乱；全文未载明任何合同总金额（小写及大写），导致无法验证付款计划总和与合同总金额的一致性，亦无法核查金额大小写是否匹配；同时存在多处格式不统一（半角/全角括号混用）、符号使用不规范（如“+”用于汇款备注）、单位表述不严谨（如“Gbps”未统一为行业通用格式）、个别语句冗长或存在语病等问题。</w:t>
      </w:r>
    </w:p>
    <w:p>
      <w:pPr>
        <w:pStyle w:val="ListBullet"/>
      </w:pPr>
      <w:r>
        <w:t>**原文引用**：</w:t>
      </w:r>
    </w:p>
    <w:p>
      <w:r>
        <w:t>&gt; ## 第十四条 其他</w:t>
      </w:r>
    </w:p>
    <w:p>
      <w:r>
        <w:t>&gt;</w:t>
      </w:r>
    </w:p>
    <w:p>
      <w:r>
        <w:t>&gt; 14.1 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 除非另有说明，本协议正文及其附件中所有的“天”均为自然日，结算货币均为人民币。</w:t>
      </w:r>
    </w:p>
    <w:p>
      <w:r>
        <w:t>&gt;</w:t>
      </w:r>
    </w:p>
    <w:p>
      <w:r>
        <w:t>&gt; 第十五条 附件</w:t>
      </w:r>
    </w:p>
    <w:p>
      <w:r>
        <w:t>&gt;</w:t>
      </w:r>
    </w:p>
    <w:p>
      <w:r>
        <w:t>&gt; 附件</w:t>
      </w:r>
    </w:p>
    <w:p>
      <w:r>
        <w:t>&gt;</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**所在位置**：合同正文起始段落（首条有效条款为“第十四条”，其前无任何条款编号）</w:t>
      </w:r>
    </w:p>
    <w:p>
      <w:pPr>
        <w:pStyle w:val="ListBullet"/>
      </w:pPr>
      <w:r>
        <w:t>**问题分析**：</w:t>
      </w:r>
    </w:p>
    <w:p>
      <w:pPr>
        <w:pStyle w:val="ListBullet"/>
      </w:pPr>
      <w:r>
        <w:t>标题顺序严重失序：合同未设置“第一条”至“第十三条”，直接以“第十四条”作为首个实质性条款，表明合同主体框架（如定义、服务范围、价款、履行方式、验收标准、违约责任、知识产权、保密、不可抗力、法律适用与争议解决等必备条款）整体缺失，构成重大结构性缺陷；</w:t>
      </w:r>
    </w:p>
    <w:p>
      <w:pPr>
        <w:pStyle w:val="ListBullet"/>
      </w:pPr>
      <w:r>
        <w:t>合同总金额完全空白：全文无任何关于合同总价的小写数字、大写汉字表述，亦无分项费用汇总或计价依据的明确金额锚点，致使付款计划缺乏核算基准，无法判断附件一所述“后付费模式”“预估下载量对应费用”等机制是否具备可执行性与合规性；</w:t>
      </w:r>
    </w:p>
    <w:p>
      <w:pPr>
        <w:pStyle w:val="ListBullet"/>
      </w:pPr>
      <w:r>
        <w:t>格式与表述瑕疵叠加：括号（“()”与“（）”）混用违反《GB/T 15834—2011 标点符号用法》对中文文本应统一使用全角标点的基本要求；“+”用于汇款备注不符合财务文书规范；“小于等于”虽非错误，但在正式合同中宜采用“≤”或“不大于”以增强严谨性；“公开交流活动”等措辞缺乏法律文本的专业性与确定性；部分长句缺少必要停顿（如附件三中SLA引用句），影响条款解释的唯一性与可执行性。</w:t>
      </w:r>
    </w:p>
    <w:p>
      <w:pPr>
        <w:pStyle w:val="ListBullet"/>
      </w:pPr>
      <w:r>
        <w:t>**法律依据**：</w:t>
      </w:r>
    </w:p>
    <w:p>
      <w:r>
        <w:t>《中华人民共和国民法典》第四百七十条：合同的内容由当事人约定，一般包括下列条款：（一）当事人的姓名或者名称和住所；（二）标的；（三）数量；（四）质量；（五）价款或者报酬；（六）履行期限、地点和方式；（七）违约责任；（八）解决争议的方法。其中，“价款或者报酬”为合同生效与履行的法定必备要素，缺失即导致合同主要权利义务不明确，影响合同成立效力。</w:t>
      </w:r>
    </w:p>
    <w:p>
      <w:r>
        <w:t>《党政机关公文格式》（GB/T 9704—2012）及《标点符号用法》（GB/T 15834—2011）：中文正式文件应统一使用全角标点符号，技术术语及单位应符合国家/行业标准（如“Gbps”为国际通用带宽单位，但需全文统一，不得混用“GBps”等错误变体）。</w:t>
      </w:r>
    </w:p>
    <w:p>
      <w:pPr>
        <w:pStyle w:val="ListBullet"/>
      </w:pPr>
      <w:r>
        <w:t>**修改建议**：</w:t>
      </w:r>
    </w:p>
    <w:p>
      <w:r>
        <w:t>&gt; 第一条 合同总金额</w:t>
      </w:r>
    </w:p>
    <w:p>
      <w:r>
        <w:t>&gt;</w:t>
      </w:r>
    </w:p>
    <w:p>
      <w:r>
        <w:t>&gt; 1.1 本合同总金额为人民币（大写）______元整（¥______.00），该金额为含税价，已包含增值税及其他一切税费。</w:t>
      </w:r>
    </w:p>
    <w:p>
      <w:r>
        <w:t>&gt;</w:t>
      </w:r>
    </w:p>
    <w:p>
      <w:r>
        <w:t>&gt; 1.2 合同总金额构成如下：</w:t>
      </w:r>
    </w:p>
    <w:p>
      <w:r>
        <w:t>&gt; &gt; （1）CDN网站加速服务费用：人民币______元；</w:t>
      </w:r>
    </w:p>
    <w:p>
      <w:r>
        <w:t>&gt; &gt; （2）对象存储服务费用：人民币______元；</w:t>
      </w:r>
    </w:p>
    <w:p>
      <w:r>
        <w:t>&gt; &gt; （3）CDN APP内应用更新加速服务费用：人民币______元；</w:t>
      </w:r>
    </w:p>
    <w:p>
      <w:r>
        <w:t>&gt; &gt; （4）其他费用（含技术支持、驻场服务等）：人民币______元；</w:t>
      </w:r>
    </w:p>
    <w:p>
      <w:r>
        <w:t>&gt; &gt; 合计：人民币（大写）______元整（¥______.00）。</w:t>
      </w:r>
    </w:p>
    <w:p>
      <w:r>
        <w:t>&gt;</w:t>
      </w:r>
    </w:p>
    <w:p>
      <w:r>
        <w:t>&gt; 第二条 付款方式</w:t>
      </w:r>
    </w:p>
    <w:p>
      <w:r>
        <w:t>&gt;</w:t>
      </w:r>
    </w:p>
    <w:p>
      <w:r>
        <w:t>&gt; 2.1 甲方应按以下进度向乙方支付合同款项：</w:t>
      </w:r>
    </w:p>
    <w:p>
      <w:r>
        <w:t>&gt; &gt; （1）首期款：本合同签订并完成内部审批流程后【5】个工作日内，支付合同总金额的【30】%，即人民币（大写）______元整（¥______.00）；</w:t>
      </w:r>
    </w:p>
    <w:p>
      <w:r>
        <w:t>&gt; &gt; （2）中期款：全部服务开通、试运行满30日且通过甲方验收后【5】个工作日内，支付合同总金额的【60】%，即人民币（大写）______元整（¥______.00）；</w:t>
      </w:r>
    </w:p>
    <w:p>
      <w:r>
        <w:t>&gt; &gt; （3）尾款：服务期满（三年）且最终验收合格后【5】个工作日内，支付合同总金额的【10】%，即人民币（大写）______元整（¥______.00）。</w:t>
      </w:r>
    </w:p>
    <w:p>
      <w:r>
        <w:t>&gt;</w:t>
      </w:r>
    </w:p>
    <w:p>
      <w:r>
        <w:t>&gt; 2.2 乙方应在每次收款前向甲方开具等额、合法、有效的增值税专用发票；发票信息须与本合同约定一致，否则甲方有权拒付相应款项。</w:t>
      </w:r>
    </w:p>
    <w:p>
      <w:r>
        <w:t>&gt;</w:t>
      </w:r>
    </w:p>
    <w:p>
      <w:r>
        <w:t>&gt; 第三条 文本规范</w:t>
      </w:r>
    </w:p>
    <w:p>
      <w:r>
        <w:t>&gt;</w:t>
      </w:r>
    </w:p>
    <w:p>
      <w:r>
        <w:t>&gt; 3.1 本合同所涉中文标点符号统一采用全角格式（如“（”“）”“：”“。”）；英文缩写、技术单位（如“Gbps”“Mbps”）保持全小写、无空格、符合IETF及IEEE标准；财务表述中禁止使用“+”“&amp;”等非正式连接符，应使用“及”“与”或顿号分隔。</w:t>
      </w:r>
    </w:p>
    <w:p>
      <w:r>
        <w:t>&gt;</w:t>
      </w:r>
    </w:p>
    <w:p>
      <w:r>
        <w:t>&gt; 3.2 所有金额均须同步列明小写阿拉伯数字与对应大写汉字，大写金额末尾加“整”字，小写金额前加“¥”符号，二者须严格一致。</w:t>
      </w:r>
    </w:p>
    <w:p>
      <w:r>
        <w:t>#### 检查要点 3.2：校验相同条款在正文与附件中约定是否一致</w:t>
      </w:r>
    </w:p>
    <w:p>
      <w:pPr>
        <w:pStyle w:val="ListBullet"/>
      </w:pPr>
      <w:r>
        <w:t>**风险等级**：高</w:t>
      </w:r>
    </w:p>
    <w:p>
      <w:pPr>
        <w:pStyle w:val="ListBullet"/>
      </w:pPr>
      <w:r>
        <w:t>**审查结论**：合同附件一与附件二对同一服务的“可用性标准”约定不一致；附件一与附件三对“服务开通日期的认定主体”约定不一致，构成实质性条款冲突，影响合同履行确定性与可执行性。</w:t>
      </w:r>
    </w:p>
    <w:p>
      <w:pPr>
        <w:pStyle w:val="ListBullet"/>
      </w:pPr>
      <w:r>
        <w:t>**原文引用**：</w:t>
      </w:r>
    </w:p>
    <w:p>
      <w:r>
        <w:t>&gt; 附件一、合同内容清单</w:t>
      </w:r>
    </w:p>
    <w:p>
      <w:r>
        <w:t>&gt; 二、验收要求</w:t>
      </w:r>
    </w:p>
    <w:p>
      <w:r>
        <w:t>&gt; 1. CDN加速后，全国范围内用户访问甲方互联网类系统可用性不低于99%。</w:t>
      </w:r>
    </w:p>
    <w:p>
      <w:r>
        <w:t>&gt;</w:t>
      </w:r>
    </w:p>
    <w:p>
      <w:r>
        <w:t>&gt; 附件二、工作任务说明书</w:t>
      </w:r>
    </w:p>
    <w:p>
      <w:r>
        <w:t>&gt; 四、服务可用性保证</w:t>
      </w:r>
    </w:p>
    <w:p>
      <w:r>
        <w:t>&gt; 1. 乙方保证甲方购买的服务的“服务可用性”达到99.9%，即每月服务不可用时间累计小于44分钟；</w:t>
      </w:r>
    </w:p>
    <w:p>
      <w:r>
        <w:t>&gt;</w:t>
      </w:r>
    </w:p>
    <w:p>
      <w:r>
        <w:t>&gt; 附件一、合同内容清单</w:t>
      </w:r>
    </w:p>
    <w:p>
      <w:r>
        <w:t>&gt; 三、商务要求</w:t>
      </w:r>
    </w:p>
    <w:p>
      <w:r>
        <w:t>&gt; 6. 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附件三、产品服务协议（腾讯云内容分发网络服务规则）</w:t>
      </w:r>
    </w:p>
    <w:p>
      <w:r>
        <w:t>&gt; 第三条 加速区域及范围等服务内容</w:t>
      </w:r>
    </w:p>
    <w:p>
      <w:r>
        <w:t>&gt; 2. 服务开通日期：指乙方为甲方开通CDN服务的日期，服务开通日期以乙方系统记录时间为准。</w:t>
      </w:r>
    </w:p>
    <w:p>
      <w:pPr>
        <w:pStyle w:val="ListBullet"/>
      </w:pPr>
      <w:r>
        <w:t>**所在位置**：</w:t>
      </w:r>
    </w:p>
    <w:p>
      <w:pPr>
        <w:pStyle w:val="ListBullet"/>
      </w:pPr>
      <w:r>
        <w:t>可用性标准：附件一第二条第1款 vs 附件二第四条第1款；</w:t>
      </w:r>
    </w:p>
    <w:p>
      <w:pPr>
        <w:pStyle w:val="ListBullet"/>
      </w:pPr>
      <w:r>
        <w:t>服务开通日期认定主体：附件一第三条第6款 vs 附件三第三条第2款。</w:t>
      </w:r>
    </w:p>
    <w:p>
      <w:pPr>
        <w:pStyle w:val="ListBullet"/>
      </w:pPr>
      <w:r>
        <w:t>**问题分析**：</w:t>
      </w:r>
    </w:p>
    <w:p>
      <w:r>
        <w:t>1. **可用性标准冲突**：99%与99.9%存在数量级差异（对应月不可用时间分别为约7.2小时 vs 44分钟），属同一服务核心质量指标的根本性矛盾，将直接导致验收标准模糊、违约责任难以界定；</w:t>
      </w:r>
    </w:p>
    <w:p>
      <w:r>
        <w:t>2. **服务开通日期认定冲突**：甲方系统记录时间与乙方系统记录时间在技术实现、数据同步、证据效力等方面存在天然差异，若无统一认定规则，极易引发关于服务起始时间、计费起算点及履约状态的争议，严重削弱合同履行的确定性与可操作性。</w:t>
      </w:r>
    </w:p>
    <w:p>
      <w:pPr>
        <w:pStyle w:val="ListBullet"/>
      </w:pPr>
      <w:r>
        <w:t>**法律依据**：</w:t>
      </w:r>
    </w:p>
    <w:p>
      <w:pPr>
        <w:pStyle w:val="ListBullet"/>
      </w:pPr>
      <w:r>
        <w:t>《中华人民共和国民法典》第五百一十条：合同生效后，当事人就质量、价款或者报酬、履行地点等内容没有约定或者约定不明确的，可以协议补充；不能达成补充协议的，按照合同相关条款或者交易习惯确定。</w:t>
      </w:r>
    </w:p>
    <w:p>
      <w:pPr>
        <w:pStyle w:val="ListBullet"/>
      </w:pPr>
      <w:r>
        <w:t>《中华人民共和国民法典》第五百零九条：当事人应当按照约定全面履行自己的义务；遵循诚信原则，根据合同性质、目的和交易习惯履行通知、协助、保密等义务。</w:t>
      </w:r>
    </w:p>
    <w:p>
      <w:r>
        <w:t>&gt; 注：本案并非“约定不明”，而是“约定冲突”，已超出《民法典》第510条适用前提，须通过修订消除矛盾，否则可能被认定为重大条款瑕疵，影响合同整体效力基础。</w:t>
      </w:r>
    </w:p>
    <w:p>
      <w:pPr>
        <w:pStyle w:val="ListBullet"/>
      </w:pPr>
      <w:r>
        <w:t>**修改建议**：</w:t>
      </w:r>
    </w:p>
    <w:p>
      <w:r>
        <w:t>&gt; 附件一、合同内容清单</w:t>
      </w:r>
    </w:p>
    <w:p>
      <w:r>
        <w:t>&gt; 二、验收要求</w:t>
      </w:r>
    </w:p>
    <w:p>
      <w:r>
        <w:t>&gt; 1. CDN加速后，全国范围内用户访问甲方互联网类系统服务可用性不低于99.9%，即每月服务不可用时间累计小于44分钟。</w:t>
      </w:r>
    </w:p>
    <w:p>
      <w:r>
        <w:t>&gt;</w:t>
      </w:r>
    </w:p>
    <w:p>
      <w:r>
        <w:t>&gt; 附件一、合同内容清单</w:t>
      </w:r>
    </w:p>
    <w:p>
      <w:r>
        <w:t>&gt; 三、商务要求</w:t>
      </w:r>
    </w:p>
    <w:p>
      <w:r>
        <w:t>&gt; 6. 上述服务的开通日期，指乙方为甲方开通CDN服务的日期，服务开通日期以乙方系统记录时间为准。计费开始日期指甲方应当依约向乙方支付服务费的起算时间。服务开通日期原则上与计费开始日期一致，双方另行约定的除外。</w:t>
      </w:r>
    </w:p>
    <w:p>
      <w:r>
        <w:t>#### 检查要点 3.3：校验是否出现招标单位、谈判单位等其他流程中相关用语</w:t>
      </w:r>
    </w:p>
    <w:p>
      <w:pPr>
        <w:pStyle w:val="ListBullet"/>
      </w:pPr>
      <w:r>
        <w:t>**风险等级**：中</w:t>
      </w:r>
    </w:p>
    <w:p>
      <w:pPr>
        <w:pStyle w:val="ListBullet"/>
      </w:pPr>
      <w:r>
        <w:t>**审查结论**：合同首部引言段使用“公开招标编号”“乙方投标承诺”等招投标程序性术语，与本文件作为已签署采购合同的法律性质不符，存在混淆合同订立阶段、弱化合意确定性及引发效力稳定性质疑的风险。</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**所在位置**：合同首部引言段（签约依据说明部分）</w:t>
      </w:r>
    </w:p>
    <w:p>
      <w:pPr>
        <w:pStyle w:val="ListBullet"/>
      </w:pPr>
      <w:r>
        <w:t>**问题分析**： “公开招标编号”“投标承诺”系招投标程序中的阶段性、过程性表述，适用于招标文件、投标函、中标通知书等环节；而本合同为已进入履行阶段的正式采购协议，其文本应体现双方最终达成的合意结果，而非还原或回溯前期程序行为。继续沿用此类术语，易导致对合同成立基础（如要约—承诺路径）、签订时点合法性及实质内容一致性的合理质疑，亦可能被解读为程序倒置或形式补正，影响合同独立性与证据效力。</w:t>
      </w:r>
    </w:p>
    <w:p>
      <w:pPr>
        <w:pStyle w:val="ListBullet"/>
      </w:pPr>
      <w:r>
        <w:t>**法律依据**：</w:t>
      </w:r>
    </w:p>
    <w:p>
      <w:pPr>
        <w:pStyle w:val="ListBullet"/>
      </w:pPr>
      <w:r>
        <w:t>《政府采购货物和服务招标投标管理办法》（财政部令第87号）第二条、第四十六条：明确该办法仅适用于“招标投标活动”，合同签订应以中标通知书为依据，且不得对招标文件和投标文件作实质性修改；</w:t>
      </w:r>
    </w:p>
    <w:p>
      <w:pPr>
        <w:pStyle w:val="ListBullet"/>
      </w:pPr>
      <w:r>
        <w:t>《民法典》第四百七十一条：合同订立可采取要约、承诺等方式，但正式书面合同文本应反映当事人最终确定的意思表示，而非过程性单方要约行为。</w:t>
      </w:r>
    </w:p>
    <w:p>
      <w:pPr>
        <w:pStyle w:val="ListBullet"/>
      </w:pPr>
      <w:r>
        <w:t>**修改建议**：</w:t>
      </w:r>
    </w:p>
    <w:p>
      <w:r>
        <w:t>&gt; 根据浙江农村商业联合银行股份有限公司互联网类系统CDN加速服务项目（三年）采购需求（项目编号：ZRUB-2025-06-03-08-C002）及乙方最终确认的服务方案与商务承诺，按照《中华人民共和国民法典》等法律法规的规定，甲、乙双方本着平等、自愿、诚实信用原则，经充分协商，就甲方向乙方采购互联网类系统CDN加速服务项目（三年）事宜订立本合同，以兹双方共同遵守。</w:t>
      </w:r>
    </w:p>
    <w:p>
      <w:r>
        <w:t>#### 检查要点 3.4：正文最后，写上“以下为合同签署栏/以下无正文”的内容</w:t>
      </w:r>
    </w:p>
    <w:p>
      <w:pPr>
        <w:pStyle w:val="ListBullet"/>
      </w:pPr>
      <w:r>
        <w:t>**风险等级**：中</w:t>
      </w:r>
    </w:p>
    <w:p>
      <w:pPr>
        <w:pStyle w:val="ListBullet"/>
      </w:pPr>
      <w:r>
        <w:t>**审查结论**：合同正文末尾未设置“以下为合同签署栏”或“以下无正文”等标准提示语，导致正文与签署页界限不明，可能影响合同形式完整性及司法实践中对条款效力范围的认定。</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**所在位置**：合同正文结尾处（第十五条“附件”之后、附件一之前）</w:t>
      </w:r>
    </w:p>
    <w:p>
      <w:pPr>
        <w:pStyle w:val="ListBullet"/>
      </w:pPr>
      <w:r>
        <w:t>**问题分析**：签署栏直接接续于正文条款之后，缺乏明确分隔标识；签署区域未冠以“合同签署栏”标题，亦未载明“以下无正文”，易引发对合同文本是否完整、是否存在后续添加内容的合理质疑，不符合合同形式审慎性要求，在发生争议时可能削弱签署页作为证据的证明力。</w:t>
      </w:r>
    </w:p>
    <w:p>
      <w:pPr>
        <w:pStyle w:val="ListBullet"/>
      </w:pPr>
      <w:r>
        <w:t>**法律依据**：《民法典》第四百七十条鼓励参照示范文本订立合同；《电子签名法》第六条强调数据电文及纸质合同均应具备“可识别性、完整性、不可篡改性”；《政府采购货物和服务招标投标管理办法》（财政部令第87号）第二十条明确要求采购合同“要素齐全、格式规范”。实践中，“以下无正文”系行业通行的形式要件，被多地法院在判例中作为判断合同文本完整性的重要参考。</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r>
        <w:t>按风险等级排序，列出需要优先处理的问题（已剔除所有“无风险”项）：</w:t>
      </w:r>
    </w:p>
    <w:p>
      <w:pPr>
        <w:pStyle w:val="Heading3"/>
      </w:pPr>
      <w:r>
        <w:t>（一）必须立即修订的高风险问题</w:t>
      </w:r>
    </w:p>
    <w:p>
      <w:pPr>
        <w:pStyle w:val="ListBullet"/>
      </w:pPr>
      <w:r>
        <w:t>增设【签约主体资信与重大涉法涉诉披露义务】条款，明确乙方重大诉讼/失信情形下的信息披露义务、甲方单方解约权及违约金责任。</w:t>
      </w:r>
    </w:p>
    <w:p>
      <w:pPr>
        <w:pStyle w:val="ListBullet"/>
      </w:pPr>
      <w:r>
        <w:t>在乙方主体信息中补充《电信业务经营许可证》编号（B1-20130326）及有效期。</w:t>
      </w:r>
    </w:p>
    <w:p>
      <w:pPr>
        <w:pStyle w:val="ListBullet"/>
      </w:pPr>
      <w:r>
        <w:t>全面补全甲乙双方法定代表人信息、传真字段；统一修正联系电话至官方公示号码；对乙方法定代表人李强信息予以明示列载。</w:t>
      </w:r>
    </w:p>
    <w:p>
      <w:pPr>
        <w:pStyle w:val="ListBullet"/>
      </w:pPr>
      <w:r>
        <w:t>重构知识产权条款：明确甲方定制成果（配置模块、策略规则、API接口、安全补丁等）归甲方单独所有，并授权甲方永久、可再许可的使用权；增设核心技术组件安全审计接口及信创适配支持义务。</w:t>
      </w:r>
    </w:p>
    <w:p>
      <w:pPr>
        <w:pStyle w:val="ListBullet"/>
      </w:pPr>
      <w:r>
        <w:t>补全合同金额条款：在附件一中完整列示CDN带宽阶梯价格、对象存储三项费用单价、APP加速流量包规格及定价；同步在正文首条增设“合同总金额”条款，载明大小写金额及构成明细。</w:t>
      </w:r>
    </w:p>
    <w:p>
      <w:pPr>
        <w:pStyle w:val="ListBullet"/>
      </w:pPr>
      <w:r>
        <w:t>重构付款机制：设置“开通后付30%+上线验收后付40%+维保期满后付30%”三阶段节点支付，并绑定书面确认文件与增值税专用发票开具义务。</w:t>
      </w:r>
    </w:p>
    <w:p>
      <w:pPr>
        <w:pStyle w:val="ListBullet"/>
      </w:pPr>
      <w:r>
        <w:t>修复合同结构性缺陷：重编条款序号，补全第一条至第十三条必备条款（含定义、服务范围、价款、履行方式、验收标准、违约责任、知识产权、保密、不可抗力、法律适用等）；在正文首条明确合同总金额（大写+小写）。</w:t>
      </w:r>
    </w:p>
    <w:p>
      <w:pPr>
        <w:pStyle w:val="Heading3"/>
      </w:pPr>
      <w:r>
        <w:t>（二）建议同步修订的中风险问题</w:t>
      </w:r>
    </w:p>
    <w:p>
      <w:pPr>
        <w:pStyle w:val="ListBullet"/>
      </w:pPr>
      <w:r>
        <w:t>明确甲乙双方“主要项目负责人”姓名、经本人单独同意后的身份证号码及有效联系电话，并配套《个人信息处理授权书》附件。</w:t>
      </w:r>
    </w:p>
    <w:p>
      <w:pPr>
        <w:pStyle w:val="ListBullet"/>
      </w:pPr>
      <w:r>
        <w:t>在附件一中逐项列明CDN、对象存储、APP升级加速服务的产品型号、技术参数、SLA保障值（如可用性≥99.95%、故障响应≤15分钟等）。</w:t>
      </w:r>
    </w:p>
    <w:p>
      <w:pPr>
        <w:pStyle w:val="ListBullet"/>
      </w:pPr>
      <w:r>
        <w:t>在合同中明确定义“年”“季度”“月”的计算规则，援引《民法典》第二百零二条并作主动约定，消除时间起止歧义。</w:t>
      </w:r>
    </w:p>
    <w:p>
      <w:pPr>
        <w:pStyle w:val="ListBullet"/>
      </w:pPr>
      <w:r>
        <w:t>将首部引言中“公开招标编号”“乙方投标承诺”等程序性表述，规范调整为“项目编号”及“乙方最终确认的服务方案与商务承诺”，回归合同文本的终局合意属性。</w:t>
      </w:r>
    </w:p>
    <w:p>
      <w:pPr>
        <w:pStyle w:val="ListBullet"/>
      </w:pPr>
      <w:r>
        <w:t>在正文末尾增加标准提示语：“以下为合同签署栏”，确保签署页与正文界限清晰、形式完整。</w:t>
      </w:r>
    </w:p>
    <w:p>
      <w:pPr>
        <w:pStyle w:val="Heading3"/>
      </w:pPr>
      <w:r>
        <w:t>（三）可后续验证的低风险问题</w:t>
      </w:r>
    </w:p>
    <w:p>
      <w:r>
        <w:t>无。</w:t>
      </w:r>
    </w:p>
    <w:p>
      <w:r>
        <w:t>（经全面审查，所有15项检查要点中，未发现需归类为“低风险”的轻微瑕疵；所有已识别问题均已按其实际影响程度准确归入高/中风险层级，不存在应列入本项的事项）</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**1.2** | **核对经营范围，合同标的是否在经营范围之内；** | **✅** |</w:t>
      </w:r>
    </w:p>
    <w:p>
      <w:r>
        <w:t>| **1.3** | **合同提供信息是否齐全，是否与工商登记一致，包括联系地址、联系电话、传真、法定代表人或负责人、联系人等信息；** | **✅** |</w:t>
      </w:r>
    </w:p>
    <w:p>
      <w:r>
        <w:t>| **1.4** | **购买软件等产品，是否有核心知识产权；** | **✅** |</w:t>
      </w:r>
    </w:p>
    <w:p>
      <w:r>
        <w:t>| **—** | **【（二）合同框架】** | **—** |</w:t>
      </w:r>
    </w:p>
    <w:p>
      <w:r>
        <w:t>| **2.1** | **合同主要项目负责人是否确定、是否预留姓名、身份证号码及电话号码** | **✅** |</w:t>
      </w:r>
    </w:p>
    <w:p>
      <w:r>
        <w:t>| **2.2** | **采购内容：品种、规格、型号、等级、花色等应具体注明，必要时可通过附件说明标的物的实际情况。** | **✅** |</w:t>
      </w:r>
    </w:p>
    <w:p>
      <w:r>
        <w:t>| **2.3** | **合同金额：数量、价款要明确，包括数额的计量单位，同时写明标的物的单价、总价，币种等。** | **✅** |</w:t>
      </w:r>
    </w:p>
    <w:p>
      <w:r>
        <w:t>| **2.4**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**3.2** | **校验相同条款在正文与附件中约定是否一致** | **✅** |</w:t>
      </w:r>
    </w:p>
    <w:p>
      <w:r>
        <w:t>| **3.3** | **校验是否出现招标单位、谈判单位等其他流程中相关用语** | **✅** |</w:t>
      </w:r>
    </w:p>
    <w:p>
      <w:r>
        <w:t>| **3.4** | **合同主体名称和签订主体名称首尾须保持一致** | **✅** |</w:t>
      </w:r>
    </w:p>
    <w:p>
      <w:r>
        <w:t>| **3.5** | **援引法律校验是否有效** | **✅** |</w:t>
      </w:r>
    </w:p>
    <w:p>
      <w:r>
        <w:t>| **3.6**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459,184 |</w:t>
      </w:r>
    </w:p>
    <w:p>
      <w:r>
        <w:t>| 汇总（Summarizer） | 45,771 |</w:t>
      </w:r>
    </w:p>
    <w:p>
      <w:r>
        <w:t>| **合计** | **507,201**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