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合同审查报告</w:t>
      </w:r>
      <w:r/>
    </w:p>
    <w:p>
      <w:pPr>
        <w:pStyle w:val="Heading2"/>
      </w:pPr>
      <w:r>
        <w:t>一、审查概要</w:t>
      </w:r>
      <w:r/>
      <w:r/>
    </w:p>
    <w:p>
      <w:pPr>
        <w:pStyle w:val="ListBullet"/>
        <w:spacing w:line="240" w:lineRule="auto"/>
        <w:ind w:left="720"/>
      </w:pPr>
      <w:r/>
      <w:r>
        <w:t xml:space="preserve">审查标准数量：15项 </w:t>
      </w:r>
      <w:r/>
    </w:p>
    <w:p>
      <w:pPr>
        <w:pStyle w:val="ListBullet"/>
        <w:spacing w:line="240" w:lineRule="auto"/>
        <w:ind w:left="720"/>
      </w:pPr>
      <w:r/>
      <w:r>
        <w:t xml:space="preserve">发现问题总数：3项 </w:t>
      </w:r>
      <w:r/>
    </w:p>
    <w:p>
      <w:pPr>
        <w:pStyle w:val="ListBullet"/>
        <w:spacing w:line="240" w:lineRule="auto"/>
        <w:ind w:left="720"/>
      </w:pPr>
      <w:r/>
      <w:r>
        <w:t xml:space="preserve">高风险问题数量：1项 </w:t>
      </w:r>
      <w:r/>
    </w:p>
    <w:p>
      <w:pPr>
        <w:pStyle w:val="ListBullet"/>
        <w:spacing w:line="240" w:lineRule="auto"/>
        <w:ind w:left="720"/>
      </w:pPr>
      <w:r/>
      <w:r>
        <w:t xml:space="preserve">中风险问题数量：2项 </w:t>
      </w:r>
      <w:r/>
    </w:p>
    <w:p>
      <w:pPr>
        <w:pStyle w:val="ListBullet"/>
        <w:spacing w:line="240" w:lineRule="auto"/>
        <w:ind w:left="720"/>
      </w:pPr>
      <w:r/>
      <w:r>
        <w:t xml:space="preserve">低风险问题数量：0项 </w:t>
      </w:r>
      <w:r/>
      <w:r/>
    </w:p>
    <w:p>
      <w:pPr>
        <w:pStyle w:val="Heading2"/>
      </w:pPr>
      <w:r>
        <w:t>二、风险总览表</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审查领域</w:t>
            </w:r>
          </w:p>
        </w:tc>
        <w:tc>
          <w:tcPr>
            <w:tcW w:type="dxa" w:w="1728"/>
          </w:tcPr>
          <w:p>
            <w:r>
              <w:rPr>
                <w:b/>
              </w:rPr>
              <w:t>主要问题</w:t>
            </w:r>
          </w:p>
        </w:tc>
        <w:tc>
          <w:tcPr>
            <w:tcW w:type="dxa" w:w="1728"/>
          </w:tcPr>
          <w:p>
            <w:r>
              <w:rPr>
                <w:b/>
              </w:rPr>
              <w:t>具体问题</w:t>
            </w:r>
          </w:p>
        </w:tc>
        <w:tc>
          <w:tcPr>
            <w:tcW w:type="dxa" w:w="1728"/>
          </w:tcPr>
          <w:p>
            <w:r>
              <w:rPr>
                <w:b/>
              </w:rPr>
              <w:t>风险等级</w:t>
            </w:r>
          </w:p>
        </w:tc>
      </w:tr>
      <w:tr>
        <w:tc>
          <w:tcPr>
            <w:tcW w:type="dxa" w:w="1728"/>
          </w:tcPr>
          <w:p>
            <w:r>
              <w:t>1</w:t>
            </w:r>
          </w:p>
        </w:tc>
        <w:tc>
          <w:tcPr>
            <w:tcW w:type="dxa" w:w="1728"/>
          </w:tcPr>
          <w:p>
            <w:r>
              <w:t>（二）合同框架</w:t>
            </w:r>
          </w:p>
        </w:tc>
        <w:tc>
          <w:tcPr>
            <w:tcW w:type="dxa" w:w="1728"/>
          </w:tcPr>
          <w:p>
            <w:r>
              <w:t>合同金额约定严重缺失</w:t>
            </w:r>
          </w:p>
        </w:tc>
        <w:tc>
          <w:tcPr>
            <w:tcW w:type="dxa" w:w="1728"/>
          </w:tcPr>
          <w:p>
            <w:r>
              <w:t>未约定服务数量、单价、总价、计量单位及币种，价款条款不完备</w:t>
            </w:r>
          </w:p>
        </w:tc>
        <w:tc>
          <w:tcPr>
            <w:tcW w:type="dxa" w:w="1728"/>
          </w:tcPr>
          <w:p>
            <w:r>
              <w:t>高</w:t>
            </w:r>
          </w:p>
        </w:tc>
      </w:tr>
      <w:tr>
        <w:tc>
          <w:tcPr>
            <w:tcW w:type="dxa" w:w="1728"/>
          </w:tcPr>
          <w:p>
            <w:r>
              <w:t>2</w:t>
            </w:r>
          </w:p>
        </w:tc>
        <w:tc>
          <w:tcPr>
            <w:tcW w:type="dxa" w:w="1728"/>
          </w:tcPr>
          <w:p>
            <w:r>
              <w:t>（三）其他基本问题</w:t>
            </w:r>
          </w:p>
        </w:tc>
        <w:tc>
          <w:tcPr>
            <w:tcW w:type="dxa" w:w="1728"/>
          </w:tcPr>
          <w:p>
            <w:r>
              <w:t>准据法表述不规范、排除冲突法无效</w:t>
            </w:r>
          </w:p>
        </w:tc>
        <w:tc>
          <w:tcPr>
            <w:tcW w:type="dxa" w:w="1728"/>
          </w:tcPr>
          <w:p>
            <w:r>
              <w:t>使用非法定术语“中国大陆法律法规”，单方排除《涉外民事关系法律适用法》适用</w:t>
            </w:r>
          </w:p>
        </w:tc>
        <w:tc>
          <w:tcPr>
            <w:tcW w:type="dxa" w:w="1728"/>
          </w:tcPr>
          <w:p>
            <w:r>
              <w:t>中</w:t>
            </w:r>
          </w:p>
        </w:tc>
      </w:tr>
      <w:tr>
        <w:tc>
          <w:tcPr>
            <w:tcW w:type="dxa" w:w="1728"/>
          </w:tcPr>
          <w:p>
            <w:r>
              <w:t>3</w:t>
            </w:r>
          </w:p>
        </w:tc>
        <w:tc>
          <w:tcPr>
            <w:tcW w:type="dxa" w:w="1728"/>
          </w:tcPr>
          <w:p>
            <w:r>
              <w:t>（三）其他基本问题</w:t>
            </w:r>
          </w:p>
        </w:tc>
        <w:tc>
          <w:tcPr>
            <w:tcW w:type="dxa" w:w="1728"/>
          </w:tcPr>
          <w:p>
            <w:r>
              <w:t>正文结尾缺乏形式分隔标识</w:t>
            </w:r>
          </w:p>
        </w:tc>
        <w:tc>
          <w:tcPr>
            <w:tcW w:type="dxa" w:w="1728"/>
          </w:tcPr>
          <w:p>
            <w:r>
              <w:t>附件六结束后未设置“以下为合同签署栏”或“以下无正文”提示</w:t>
            </w:r>
          </w:p>
        </w:tc>
        <w:tc>
          <w:tcPr>
            <w:tcW w:type="dxa" w:w="1728"/>
          </w:tcPr>
          <w:p>
            <w:r>
              <w:t>中</w:t>
            </w:r>
          </w:p>
        </w:tc>
      </w:tr>
    </w:tbl>
    <w:p>
      <w:r/>
    </w:p>
    <w:p>
      <w:pPr>
        <w:pStyle w:val="Heading2"/>
      </w:pPr>
      <w:r>
        <w:t>三、审查详情</w:t>
      </w:r>
      <w:r/>
    </w:p>
    <w:p>
      <w:pPr>
        <w:pStyle w:val="Heading3"/>
      </w:pPr>
      <w:r>
        <w:t>（二）合同框架</w:t>
      </w:r>
      <w:r/>
    </w:p>
    <w:p>
      <w:pPr>
        <w:pStyle w:val="Heading4"/>
      </w:pPr>
      <w:r>
        <w:t>检查要点 1.1：合同金额：数量、价款要明确，包括数额的计量单位，同时写明标的物的单价、总价，币种等</w:t>
      </w:r>
      <w:r/>
      <w:r/>
    </w:p>
    <w:p>
      <w:pPr>
        <w:pStyle w:val="ListBullet"/>
        <w:spacing w:line="240" w:lineRule="auto"/>
        <w:ind w:left="720"/>
      </w:pPr>
      <w:r/>
      <w:r>
        <w:rPr>
          <w:b/>
        </w:rPr>
        <w:t>风险等级</w:t>
      </w:r>
      <w:r>
        <w:t xml:space="preserve">：高 </w:t>
      </w:r>
      <w:r/>
    </w:p>
    <w:p>
      <w:pPr>
        <w:pStyle w:val="ListBullet"/>
        <w:spacing w:line="240" w:lineRule="auto"/>
        <w:ind w:left="720"/>
      </w:pPr>
      <w:r/>
      <w:r>
        <w:rPr>
          <w:b/>
        </w:rPr>
        <w:t>审查结论</w:t>
      </w:r>
      <w:r>
        <w:t xml:space="preserve">：合同未约定任何具体服务项目的数量、单价、总价、计量单位及币种，仅抽象描述付费方式、违约金计算规则与账单机制，导致交易对价条款严重缺失，构成《民法典》第510条、第511条所指“价款约定不明确”情形，合同主要条款不完备，存在履行不能、结算争议及被认定为成立要件瑕疵的重大法律风险。 </w:t>
      </w:r>
      <w:r/>
    </w:p>
    <w:p>
      <w:pPr>
        <w:pStyle w:val="ListBullet"/>
        <w:spacing w:line="240" w:lineRule="auto"/>
        <w:ind w:left="720"/>
      </w:pPr>
      <w:r/>
      <w:r>
        <w:rPr>
          <w:b/>
        </w:rPr>
        <w:t>原文引用</w:t>
      </w:r>
      <w:r>
        <w:t xml:space="preserve">： </w:t>
      </w:r>
      <w:r/>
    </w:p>
    <w:p>
      <w:r/>
      <w:r>
        <w:t xml:space="preserve">3.2.1 甲方可以通过先付费或后付费的方式获取腾讯云服务，具体以甲方所购买的服务所支持的付费方式为准。 </w:t>
      </w:r>
      <w:r/>
    </w:p>
    <w:p>
      <w:r/>
      <w:r>
        <w:t xml:space="preserve">3.2.4 ……如果甲方发生欠费，腾讯云有权每天按照甲方欠费金额的万分之五的标准向甲方收取违约金。 </w:t>
      </w:r>
      <w:r/>
    </w:p>
    <w:p>
      <w:r/>
      <w:r>
        <w:t xml:space="preserve">3.2.7 ……腾讯云在每个月度均会向甲方提供账单，该账单作为双方费用结算凭据…… </w:t>
      </w:r>
      <w:r/>
      <w:r/>
      <w:r/>
    </w:p>
    <w:p>
      <w:pPr>
        <w:pStyle w:val="ListBullet"/>
        <w:spacing w:line="240" w:lineRule="auto"/>
        <w:ind w:left="720"/>
      </w:pPr>
      <w:r/>
      <w:r>
        <w:rPr>
          <w:b/>
        </w:rPr>
        <w:t>所在位置</w:t>
      </w:r>
      <w:r>
        <w:t xml:space="preserve">：第三条 服务 → 3.2 服务费用（全部子条款） </w:t>
      </w:r>
      <w:r/>
    </w:p>
    <w:p>
      <w:pPr>
        <w:pStyle w:val="ListBullet"/>
        <w:spacing w:line="240" w:lineRule="auto"/>
        <w:ind w:left="720"/>
      </w:pPr>
      <w:r/>
      <w:r>
        <w:rPr>
          <w:b/>
        </w:rPr>
        <w:t>问题分析</w:t>
      </w:r>
      <w:r>
        <w:t xml:space="preserve">： </w:t>
      </w:r>
      <w:r/>
    </w:p>
    <w:p>
      <w:pPr>
        <w:pStyle w:val="ListBullet"/>
        <w:spacing w:line="240" w:lineRule="auto"/>
        <w:ind w:left="720"/>
      </w:pPr>
      <w:r/>
      <w:r>
        <w:t xml:space="preserve">合同全文未载明任一服务项目的具体数量（如“1台”“100GB”）、未列示单价（如“¥0.12/小时”）、未注明计量单位（如“小时”“GB”“次”“实例”）、未明确币种（虽行业惯例为人民币，但未作合同明示），亦未定义总价构成逻辑； </w:t>
      </w:r>
      <w:r/>
    </w:p>
    <w:p>
      <w:pPr>
        <w:pStyle w:val="ListBullet"/>
        <w:spacing w:line="240" w:lineRule="auto"/>
        <w:ind w:left="720"/>
      </w:pPr>
      <w:r/>
      <w:r>
        <w:t xml:space="preserve">所有计费表述均为机制性描述（如“按时长计费”“套餐类服务”），缺乏可执行的价格参数，无法支撑履约、开票、审计及司法认定； </w:t>
      </w:r>
      <w:r/>
    </w:p>
    <w:p>
      <w:pPr>
        <w:pStyle w:val="ListBullet"/>
        <w:spacing w:line="240" w:lineRule="auto"/>
        <w:ind w:left="720"/>
      </w:pPr>
      <w:r/>
      <w:r>
        <w:t xml:space="preserve">“账单作为结算凭据”属于事后确认安排，不能替代合同订立时对价条款的法定明确义务； </w:t>
      </w:r>
      <w:r/>
    </w:p>
    <w:p>
      <w:pPr>
        <w:pStyle w:val="ListBullet"/>
        <w:spacing w:line="240" w:lineRule="auto"/>
        <w:ind w:left="720"/>
      </w:pPr>
      <w:r/>
      <w:r>
        <w:t xml:space="preserve">依据《民法典》第510条、第511条第二项，价款约定不明将被迫援引市场价格或交易习惯确定，显著增加履约不确定性、成本及举证负担。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《中华人民共和国民法典》第五百一十条、第五百一十一条第二项； </w:t>
      </w:r>
      <w:r/>
    </w:p>
    <w:p>
      <w:pPr>
        <w:pStyle w:val="ListBullet"/>
        <w:spacing w:line="240" w:lineRule="auto"/>
        <w:ind w:left="720"/>
      </w:pPr>
      <w:r/>
      <w:r>
        <w:t xml:space="preserve">《最高人民法院关于适用〈中华人民共和国民法典〉合同编通则若干问题的解释》第九条。 </w:t>
      </w:r>
      <w:r/>
    </w:p>
    <w:p>
      <w:pPr>
        <w:pStyle w:val="ListBullet"/>
        <w:spacing w:line="240" w:lineRule="auto"/>
        <w:ind w:left="720"/>
      </w:pPr>
      <w:r/>
      <w:r>
        <w:rPr>
          <w:b/>
        </w:rPr>
        <w:t>修改建议</w:t>
      </w:r>
      <w:r>
        <w:t xml:space="preserve">： </w:t>
      </w:r>
      <w:r/>
    </w:p>
    <w:p>
      <w:r/>
      <w:r>
        <w:t>第三条 服务费用</w:t>
        <w:br/>
      </w:r>
      <w:r>
        <w:t>3.2.1 本合同项下服务费用以甲方在腾讯云官网下单时确认的订单为准。每份有效订单须明确载明：（1）服务名称及规格；（2）数量及计量单位（如：1台、100GB、10,000次API调用）；（3）单价（币种：人民币，单位：元）；（4）总价（大写：人民币</w:t>
      </w:r>
      <w:r>
        <w:rPr>
          <w:b/>
          <w:i/>
        </w:rPr>
        <w:t>_</w:t>
      </w:r>
      <w:r>
        <w:rPr>
          <w:b/>
        </w:rPr>
        <w:t>_元整，小写：¥</w:t>
      </w:r>
      <w:r>
        <w:t xml:space="preserve">____.00）；（5）计费周期（如：按小时、按月、按年、一次性）。订单构成本协议不可分割的组成部分。 </w:t>
      </w:r>
      <w:r/>
    </w:p>
    <w:p>
      <w:r/>
      <w:r>
        <w:t>3.2.2 若甲方通过专属客户经理线下确认服务配置及价格，应签署书面《服务价格确认单》（附件X），该确认单与订单具有同等法律效力。</w:t>
      </w:r>
      <w:r/>
      <w:r/>
      <w:r/>
      <w:r/>
    </w:p>
    <w:p>
      <w:pPr>
        <w:pStyle w:val="Heading3"/>
      </w:pPr>
      <w:r>
        <w:t>（三）其他基本问题</w:t>
      </w:r>
      <w:r/>
    </w:p>
    <w:p>
      <w:pPr>
        <w:pStyle w:val="Heading4"/>
      </w:pPr>
      <w:r>
        <w:t>检查要点 2.1：援引法律校验是否有效</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：合同第13.2条使用“中国大陆法律法规（不包括冲突法）”作为准据法表述，术语不规范、内涵不明确，存在法律适用不确定性与条款可执行性风险。 </w:t>
      </w:r>
      <w:r/>
    </w:p>
    <w:p>
      <w:pPr>
        <w:pStyle w:val="ListBullet"/>
        <w:spacing w:line="240" w:lineRule="auto"/>
        <w:ind w:left="720"/>
      </w:pPr>
      <w:r/>
      <w:r>
        <w:rPr>
          <w:b/>
        </w:rPr>
        <w:t>原文引用</w:t>
      </w:r>
      <w:r>
        <w:t xml:space="preserve">： </w:t>
      </w:r>
      <w:r/>
    </w:p>
    <w:p>
      <w:r/>
      <w:r>
        <w:t xml:space="preserve">13.2 本协议的成立、生效、履行、解释及纠纷解决等，均适用中国大陆法律法规（不包括冲突法）。 </w:t>
      </w:r>
      <w:r/>
      <w:r/>
      <w:r/>
    </w:p>
    <w:p>
      <w:pPr>
        <w:pStyle w:val="ListBullet"/>
        <w:spacing w:line="240" w:lineRule="auto"/>
        <w:ind w:left="720"/>
      </w:pPr>
      <w:r/>
      <w:r>
        <w:rPr>
          <w:b/>
        </w:rPr>
        <w:t>所在位置</w:t>
      </w:r>
      <w:r>
        <w:t xml:space="preserve">：第十三条第13.2款 </w:t>
      </w:r>
      <w:r/>
    </w:p>
    <w:p>
      <w:pPr>
        <w:pStyle w:val="ListBullet"/>
        <w:spacing w:line="240" w:lineRule="auto"/>
        <w:ind w:left="720"/>
      </w:pPr>
      <w:r/>
      <w:r>
        <w:rPr>
          <w:b/>
        </w:rPr>
        <w:t>问题分析</w:t>
      </w:r>
      <w:r>
        <w:t xml:space="preserve">： </w:t>
      </w:r>
      <w:r/>
    </w:p>
    <w:p>
      <w:pPr>
        <w:pStyle w:val="ListBullet"/>
        <w:spacing w:line="240" w:lineRule="auto"/>
        <w:ind w:left="720"/>
      </w:pPr>
      <w:r/>
      <w:r>
        <w:t xml:space="preserve">“中国大陆法律法规”非我国法定法律术语，不符合《立法法》《涉外民事关系法律适用法》等上位法对法律渊源的规范表述；正式法律适用应指向“中华人民共和国法律”，其效力范围依法涵盖宪法、法律、行政法规、司法解释等具有普遍约束力的规范性文件。 </w:t>
      </w:r>
      <w:r/>
    </w:p>
    <w:p>
      <w:pPr>
        <w:pStyle w:val="ListBullet"/>
        <w:spacing w:line="240" w:lineRule="auto"/>
        <w:ind w:left="720"/>
      </w:pPr>
      <w:r/>
      <w:r>
        <w:t xml:space="preserve">单方排除“冲突法”缺乏正当性与可行性：《涉外民事关系法律适用法》系我国现行有效的专门冲突规范，属实体法体系组成部分；若合同实际存在涉外因素（如一方为境外主体、签约地或履行地涉外等），依《最高人民法院关于适用〈中华人民共和国涉外民事关系法律适用法〉若干问题的解释（一）》第一条，即应适用该法及其司法解释，人为排除将导致法律适用规则缺位。 </w:t>
      </w:r>
      <w:r/>
    </w:p>
    <w:p>
      <w:pPr>
        <w:pStyle w:val="ListBullet"/>
        <w:spacing w:line="240" w:lineRule="auto"/>
        <w:ind w:left="720"/>
      </w:pPr>
      <w:r/>
      <w:r>
        <w:t xml:space="preserve">“法律法规”未明确是否包含司法解释、部门规章及地方性法规，易引发效力层级与适用范围争议；根据《立法法》第八十七条，法律效力高于行政法规、地方性法规和规章，而司法解释在审判实践中具有事实上的普遍约束力，应在准据法条款中予以明确涵盖或合理限定。 </w:t>
      </w:r>
      <w:r/>
    </w:p>
    <w:p>
      <w:pPr>
        <w:pStyle w:val="ListBullet"/>
        <w:spacing w:line="240" w:lineRule="auto"/>
        <w:ind w:left="720"/>
      </w:pPr>
      <w:r/>
      <w:r>
        <w:rPr>
          <w:b/>
        </w:rPr>
        <w:t>法律依据</w:t>
      </w:r>
      <w:r>
        <w:t xml:space="preserve">： </w:t>
      </w:r>
      <w:r/>
    </w:p>
    <w:p>
      <w:pPr>
        <w:pStyle w:val="ListBullet"/>
        <w:spacing w:line="240" w:lineRule="auto"/>
        <w:ind w:left="720"/>
      </w:pPr>
      <w:r/>
      <w:r>
        <w:t xml:space="preserve">《中华人民共和国立法法》第八十七条：“宪法具有最高的法律效力，一切法律、行政法规、地方性法规、自治条例和单行条例、规章都不得同宪法相抵触。” </w:t>
      </w:r>
      <w:r/>
    </w:p>
    <w:p>
      <w:pPr>
        <w:pStyle w:val="ListBullet"/>
        <w:spacing w:line="240" w:lineRule="auto"/>
        <w:ind w:left="720"/>
      </w:pPr>
      <w:r/>
      <w:r>
        <w:t xml:space="preserve">《中华人民共和国涉外民事关系法律适用法》第二条、第三条：“涉外民事关系适用的法律，依照本法确定……当事人依照法律规定可以明示选择涉外民事关系适用的法律；中华人民共和国法律对涉外民事关系有强制性规定的，直接适用该强制性规定。” </w:t>
      </w:r>
      <w:r/>
    </w:p>
    <w:p>
      <w:pPr>
        <w:pStyle w:val="ListBullet"/>
        <w:spacing w:line="240" w:lineRule="auto"/>
        <w:ind w:left="720"/>
      </w:pPr>
      <w:r/>
      <w:r>
        <w:t xml:space="preserve">《最高人民法院关于适用〈中华人民共和国涉外民事关系法律适用法〉若干问题的解释（一）》第一条：“民事关系具有下列情形之一的，人民法院可以认定为涉外民事关系：（一）当事人一方或双方是外国公民、外国法人或者其他组织、无国籍人；（二）当事人一方或双方的经常居所地在中华人民共和国领域外；（三）标的物在中华人民共和国领域外；（四）产生、变更或者消灭民事关系的法律事实发生在中华人民共和国领域外；（五）可以认定为涉外民事关系的其他情形。” </w:t>
      </w:r>
      <w:r/>
    </w:p>
    <w:p>
      <w:pPr>
        <w:pStyle w:val="ListBullet"/>
        <w:spacing w:line="240" w:lineRule="auto"/>
        <w:ind w:left="720"/>
      </w:pPr>
      <w:r/>
      <w:r>
        <w:rPr>
          <w:b/>
        </w:rPr>
        <w:t>修改建议</w:t>
      </w:r>
      <w:r>
        <w:t xml:space="preserve">： </w:t>
      </w:r>
      <w:r/>
    </w:p>
    <w:p>
      <w:r/>
      <w:r>
        <w:t>13.2 本协议的成立、生效、履行、解释及争议解决，均适用中华人民共和国法律（不含国际条约及国际惯例，但中华人民共和国缔结或参加的国际条约另有规定的除外）；如本协议涉及涉外民事关系，且依法应适用《中华人民共和国涉外民事关系法律适用法》及其司法解释的，从其规定。</w:t>
      </w:r>
      <w:r/>
      <w:r/>
      <w:r/>
      <w:r/>
    </w:p>
    <w:p>
      <w:pPr>
        <w:pStyle w:val="Heading4"/>
      </w:pPr>
      <w:r>
        <w:t>检查要点 2.2：正文最后，写上“以下为合同签署栏/以下无正文”的内容</w:t>
      </w:r>
      <w:r/>
      <w:r/>
    </w:p>
    <w:p>
      <w:pPr>
        <w:pStyle w:val="ListBullet"/>
        <w:spacing w:line="240" w:lineRule="auto"/>
        <w:ind w:left="720"/>
      </w:pPr>
      <w:r/>
      <w:r>
        <w:rPr>
          <w:b/>
        </w:rPr>
        <w:t>风险等级</w:t>
      </w:r>
      <w:r>
        <w:t xml:space="preserve">：中 </w:t>
      </w:r>
      <w:r/>
    </w:p>
    <w:p>
      <w:pPr>
        <w:pStyle w:val="ListBullet"/>
        <w:spacing w:line="240" w:lineRule="auto"/>
        <w:ind w:left="720"/>
      </w:pPr>
      <w:r/>
      <w:r>
        <w:rPr>
          <w:b/>
        </w:rPr>
        <w:t>审查结论</w:t>
      </w:r>
      <w:r>
        <w:t xml:space="preserve">：合同正文终止于附件六末尾，其后直接进入签署栏，未在正文结束位置设置“以下为合同签署栏”或“以下无正文”等明确分隔标识，不符合合同形式规范要求，存在正文完整性存疑、易被质疑擅自增补内容的风险。 </w:t>
      </w:r>
      <w:r/>
    </w:p>
    <w:p>
      <w:pPr>
        <w:pStyle w:val="ListBullet"/>
        <w:spacing w:line="240" w:lineRule="auto"/>
        <w:ind w:left="720"/>
      </w:pPr>
      <w:r/>
      <w:r/>
    </w:p>
    <w:p>
      <w:r/>
      <w:r>
        <w:rPr>
          <w:b/>
        </w:rPr>
        <w:t>原文引用</w:t>
      </w:r>
      <w:r>
        <w:t>：</w:t>
      </w:r>
      <w:r/>
      <w:r/>
    </w:p>
    <w:p>
      <w:r/>
      <w:r>
        <w:t>附件六</w:t>
        <w:br/>
      </w:r>
      <w:r>
        <w:t xml:space="preserve">购买/使用腾讯云境外服务附录 </w:t>
      </w:r>
      <w:r/>
    </w:p>
    <w:p>
      <w:r/>
      <w:r>
        <w:t xml:space="preserve">如果甲方希望购买\使用到境外国家和地区的服务，则本采购合同以及本附录条款（以下统称为 ”本协议“）是腾讯云与甲方，就甲方使用腾讯云境外服务的相关事项签订的合同。本附录中使用但未定义的任何术语应具有本采购合同所赋予的含义。 </w:t>
      </w:r>
      <w:r/>
    </w:p>
    <w:p>
      <w:r/>
      <w:r>
        <w:t xml:space="preserve">本附录作为本采购合同的附属协议，具有与本采购合同同等效力。本附录未约定事项，甲方应遵守本采购合同的相关约定。若本附录与本采购合同中的条款相冲突或不一致，则以本附录为准。 </w:t>
      </w:r>
      <w:r/>
    </w:p>
    <w:p>
      <w:r/>
      <w:r>
        <w:t xml:space="preserve">第一条 适用范围 </w:t>
      </w:r>
      <w:r/>
    </w:p>
    <w:p>
      <w:r/>
      <w:r>
        <w:t xml:space="preserve">1.1 本附录适用于甲方购买\使用境外（为本附录之目的，“境外”系指中国大陆以外的国家或地区，包括但不限于中国香港、中国澳门等腾讯云官网展示的可用服务地域）腾讯云服务场景；在此场景下，甲方除应当严格遵守本采购合同约定内容外，还应当遵守本附录的内容。 </w:t>
      </w:r>
      <w:r/>
    </w:p>
    <w:p>
      <w:r/>
      <w:r>
        <w:t xml:space="preserve">……（附件六全文结束） </w:t>
      </w:r>
      <w:r/>
    </w:p>
    <w:p>
      <w:r/>
      <w:r>
        <w:t xml:space="preserve">甲方：浙江农村商业联合银行股份有限公司 乙方：腾讯云计算（北京）有限责任公司 </w:t>
      </w:r>
      <w:r/>
    </w:p>
    <w:p>
      <w:r/>
      <w:r>
        <w:t xml:space="preserve">（加盖单位公章或合同专用章） （加盖单位公章或合同专用章） </w:t>
      </w:r>
      <w:r/>
    </w:p>
    <w:p>
      <w:r/>
      <w:r>
        <w:t xml:space="preserve">法定代表人或授权代理人 法定代表人或授权代理人 </w:t>
      </w:r>
      <w:r/>
    </w:p>
    <w:p>
      <w:r/>
      <w:r>
        <w:t xml:space="preserve">（签字或加盖人名章）： （签字或加盖人名章）： </w:t>
      </w:r>
      <w:r/>
    </w:p>
    <w:p>
      <w:r/>
      <w:r>
        <w:t xml:space="preserve">日期：2025年 月 日 日期：2025年 月 日 </w:t>
      </w:r>
      <w:r/>
    </w:p>
    <w:p>
      <w:r/>
      <w:r>
        <w:t>（注：涉及授权代理人签署的，请附法定代表人出具的授权书）</w:t>
      </w:r>
      <w:r/>
      <w:r/>
      <w:r/>
    </w:p>
    <w:p>
      <w:pPr>
        <w:pStyle w:val="ListBullet"/>
        <w:spacing w:line="240" w:lineRule="auto"/>
        <w:ind w:left="720"/>
      </w:pPr>
      <w:r/>
      <w:r/>
    </w:p>
    <w:p>
      <w:r/>
      <w:r>
        <w:rPr>
          <w:b/>
        </w:rPr>
        <w:t>所在位置</w:t>
      </w:r>
      <w:r>
        <w:t xml:space="preserve">：合同正文结尾处（附件六之后、签署栏之前） </w:t>
      </w:r>
      <w:r/>
      <w:r/>
    </w:p>
    <w:p>
      <w:pPr>
        <w:pStyle w:val="ListBullet"/>
        <w:spacing w:line="240" w:lineRule="auto"/>
        <w:ind w:left="720"/>
      </w:pPr>
      <w:r/>
      <w:r>
        <w:rPr>
          <w:b/>
        </w:rPr>
        <w:t>问题分析</w:t>
      </w:r>
      <w:r>
        <w:t xml:space="preserve">：缺乏“以下为合同签署栏”或“以下无正文”等标准分隔标识，导致正文与签署部分界限模糊，可能削弱合同的形式严谨性与证据效力；在争议发生时，对方可据此质疑合同文本是否被篡改或添加，影响司法机关对合同完整性的认定。 </w:t>
      </w:r>
      <w:r/>
    </w:p>
    <w:p>
      <w:pPr>
        <w:pStyle w:val="ListBullet"/>
        <w:spacing w:line="240" w:lineRule="auto"/>
        <w:ind w:left="720"/>
      </w:pPr>
      <w:r/>
      <w:r>
        <w:rPr>
          <w:b/>
        </w:rPr>
        <w:t>法律依据</w:t>
      </w:r>
      <w:r>
        <w:t xml:space="preserve">：《中华人民共和国民法典》第四百七十条虽未强制规定具体格式用语，但强调合同应具备必要条款并体现当事人真实意思表示；《最高人民法院关于民事诉讼证据的若干规定》第九十四条将书面合同的形式完整性列为真实性审查的重要因素；此外，《党政机关公文格式》（GB/T 9704–2012）及行业通行实践均将“以下无正文”或类似提示作为正式合同的标准形式要件。 </w:t>
      </w:r>
      <w:r/>
    </w:p>
    <w:p>
      <w:pPr>
        <w:pStyle w:val="ListBullet"/>
        <w:spacing w:line="240" w:lineRule="auto"/>
        <w:ind w:left="720"/>
      </w:pPr>
      <w:r/>
      <w:r>
        <w:rPr>
          <w:b/>
        </w:rPr>
        <w:t>修改建议</w:t>
      </w:r>
      <w:r>
        <w:t>：</w:t>
      </w:r>
      <w:r/>
    </w:p>
    <w:p>
      <w:r/>
      <w:r>
        <w:t>以下为合同签署栏</w:t>
      </w:r>
      <w:r/>
      <w:r/>
      <w:r/>
      <w:r/>
    </w:p>
    <w:p>
      <w:pPr>
        <w:pStyle w:val="Heading2"/>
      </w:pPr>
      <w:r>
        <w:t>四、优先处理建议</w:t>
      </w:r>
      <w:r/>
    </w:p>
    <w:p>
      <w:r/>
      <w:r>
        <w:t>按风险等级排序，列出需要优先处理的问题（注意剔除所有风险等级为“无”的合规项目）：</w:t>
      </w:r>
      <w:r/>
    </w:p>
    <w:p>
      <w:pPr>
        <w:pStyle w:val="Heading3"/>
      </w:pPr>
      <w:r>
        <w:t>（一）必须立即修订的高风险问题</w:t>
      </w:r>
      <w:r/>
      <w:r/>
    </w:p>
    <w:p>
      <w:pPr>
        <w:pStyle w:val="ListBullet"/>
        <w:spacing w:line="240" w:lineRule="auto"/>
        <w:ind w:left="720"/>
      </w:pPr>
      <w:r/>
      <w:r>
        <w:t>在第三条“服务费用”中补充明确的服务数量、单价、总价、计量单位及币种等核心对价要素，确保每份订单或价格确认单载明服务名称及规格、数量及计量单位、单价（注明币种为人民币）、总价（大小写）、计费周期，并明确其构成本协议不可分割的组成部分。</w:t>
      </w:r>
      <w:r/>
      <w:r/>
    </w:p>
    <w:p>
      <w:pPr>
        <w:pStyle w:val="Heading3"/>
      </w:pPr>
      <w:r>
        <w:t>（二）建议同步修订的中风险问题</w:t>
      </w:r>
      <w:r/>
      <w:r/>
    </w:p>
    <w:p>
      <w:pPr>
        <w:pStyle w:val="ListBullet"/>
        <w:spacing w:line="240" w:lineRule="auto"/>
        <w:ind w:left="720"/>
      </w:pPr>
      <w:r/>
      <w:r>
        <w:t xml:space="preserve">将第十三条第13.2款准据法表述修改为“中华人民共和国法律（不含国际条约及国际惯例，但中华人民共和国缔结或参加的国际条约另有规定的除外）”，并补充说明：如本协议涉及涉外民事关系，依法应适用《中华人民共和国涉外民事关系法律适用法》及其司法解释的，从其规定。 </w:t>
      </w:r>
      <w:r/>
    </w:p>
    <w:p>
      <w:pPr>
        <w:pStyle w:val="ListBullet"/>
        <w:spacing w:line="240" w:lineRule="auto"/>
        <w:ind w:left="720"/>
      </w:pPr>
      <w:r/>
      <w:r>
        <w:t>在附件六末尾、签署栏之前增加标准分隔语：“以下为合同签署栏”。</w:t>
      </w:r>
      <w:r/>
      <w:r/>
    </w:p>
    <w:p>
      <w:pPr>
        <w:pStyle w:val="Heading3"/>
      </w:pPr>
      <w:r>
        <w:t>（三）可后续验证的低风险问题</w:t>
      </w:r>
      <w:r/>
    </w:p>
    <w:p>
      <w:r/>
      <w:r>
        <w:t>（无）</w:t>
      </w:r>
      <w:r/>
    </w:p>
    <w:p>
      <w:pPr>
        <w:pBdr>
          <w:bottom w:val="single" w:sz="6" w:space="1" w:color="auto"/>
        </w:pBdr>
      </w:pPr>
      <w:r/>
    </w:p>
    <w:p>
      <w:pPr>
        <w:pStyle w:val="Heading2"/>
      </w:pPr>
      <w:r>
        <w:t>附：审查标准覆盖核查表</w:t>
      </w:r>
      <w:r/>
    </w:p>
    <w:tbl>
      <w:tblPr>
        <w:tblW w:type="auto" w:w="0"/>
        <w:tblLook w:firstColumn="1" w:firstRow="1" w:lastColumn="0" w:lastRow="0" w:noHBand="0" w:noVBand="1" w:val="04A0"/>
      </w:tblPr>
      <w:tblGrid>
        <w:gridCol w:w="2880"/>
        <w:gridCol w:w="2880"/>
        <w:gridCol w:w="2880"/>
      </w:tblGrid>
      <w:tr>
        <w:tc>
          <w:tcPr>
            <w:tcW w:type="dxa" w:w="2880"/>
          </w:tcPr>
          <w:p>
            <w:r>
              <w:rPr>
                <w:b/>
              </w:rPr>
              <w:t>序号</w:t>
            </w:r>
          </w:p>
        </w:tc>
        <w:tc>
          <w:tcPr>
            <w:tcW w:type="dxa" w:w="2880"/>
          </w:tcPr>
          <w:p>
            <w:r>
              <w:rPr>
                <w:b/>
              </w:rPr>
              <w:t>审查内容</w:t>
            </w:r>
          </w:p>
        </w:tc>
        <w:tc>
          <w:tcPr>
            <w:tcW w:type="dxa" w:w="2880"/>
          </w:tcPr>
          <w:p>
            <w:r>
              <w:rPr>
                <w:b/>
              </w:rPr>
              <w:t>审查状态</w:t>
            </w:r>
          </w:p>
        </w:tc>
      </w:tr>
      <w:tr>
        <w:tc>
          <w:tcPr>
            <w:tcW w:type="dxa" w:w="2880"/>
          </w:tcPr>
          <w:p>
            <w:r>
              <w:rPr>
                <w:b/>
              </w:rPr>
              <w:t>—</w:t>
            </w:r>
          </w:p>
        </w:tc>
        <w:tc>
          <w:tcPr>
            <w:tcW w:type="dxa" w:w="2880"/>
          </w:tcPr>
          <w:p>
            <w:r>
              <w:rPr>
                <w:b/>
              </w:rPr>
              <w:t>【（一）合同主体】</w:t>
            </w:r>
          </w:p>
        </w:tc>
        <w:tc>
          <w:tcPr>
            <w:tcW w:type="dxa" w:w="2880"/>
          </w:tcPr>
          <w:p>
            <w:r>
              <w:rPr>
                <w:b/>
              </w:rPr>
              <w:t>—</w:t>
            </w:r>
          </w:p>
        </w:tc>
      </w:tr>
      <w:tr>
        <w:tc>
          <w:tcPr>
            <w:tcW w:type="dxa" w:w="2880"/>
          </w:tcPr>
          <w:p>
            <w:r>
              <w:rPr>
                <w:b/>
              </w:rPr>
              <w:t>1.1</w:t>
            </w:r>
          </w:p>
        </w:tc>
        <w:tc>
          <w:tcPr>
            <w:tcW w:type="dxa" w:w="2880"/>
          </w:tcPr>
          <w:p>
            <w:r>
              <w:rPr>
                <w:b/>
              </w:rPr>
              <w:t>通过工商数据比对该签约主体是否存在重大涉法涉诉事项；</w:t>
            </w:r>
          </w:p>
        </w:tc>
        <w:tc>
          <w:tcPr>
            <w:tcW w:type="dxa" w:w="2880"/>
          </w:tcPr>
          <w:p>
            <w:r>
              <w:rPr>
                <w:b/>
              </w:rPr>
              <w:t>❌</w:t>
            </w:r>
          </w:p>
        </w:tc>
      </w:tr>
      <w:tr>
        <w:tc>
          <w:tcPr>
            <w:tcW w:type="dxa" w:w="2880"/>
          </w:tcPr>
          <w:p>
            <w:r>
              <w:rPr>
                <w:b/>
              </w:rPr>
              <w:t>1.2</w:t>
            </w:r>
          </w:p>
        </w:tc>
        <w:tc>
          <w:tcPr>
            <w:tcW w:type="dxa" w:w="2880"/>
          </w:tcPr>
          <w:p>
            <w:r>
              <w:rPr>
                <w:b/>
              </w:rPr>
              <w:t>核对经营范围，合同标的是否在经营范围之内；</w:t>
            </w:r>
          </w:p>
        </w:tc>
        <w:tc>
          <w:tcPr>
            <w:tcW w:type="dxa" w:w="2880"/>
          </w:tcPr>
          <w:p>
            <w:r>
              <w:rPr>
                <w:b/>
              </w:rPr>
              <w:t>❌</w:t>
            </w:r>
          </w:p>
        </w:tc>
      </w:tr>
      <w:tr>
        <w:tc>
          <w:tcPr>
            <w:tcW w:type="dxa" w:w="2880"/>
          </w:tcPr>
          <w:p>
            <w:r>
              <w:rPr>
                <w:b/>
              </w:rPr>
              <w:t>1.3</w:t>
            </w:r>
          </w:p>
        </w:tc>
        <w:tc>
          <w:tcPr>
            <w:tcW w:type="dxa" w:w="2880"/>
          </w:tcPr>
          <w:p>
            <w:r>
              <w:rPr>
                <w:b/>
              </w:rPr>
              <w:t>合同提供信息是否齐全，是否与工商登记一致，包括联系地址、联系电话、传真、法定代表人或负责人、联系人等信息；</w:t>
            </w:r>
          </w:p>
        </w:tc>
        <w:tc>
          <w:tcPr>
            <w:tcW w:type="dxa" w:w="2880"/>
          </w:tcPr>
          <w:p>
            <w:r>
              <w:rPr>
                <w:b/>
              </w:rPr>
              <w:t>❌</w:t>
            </w:r>
          </w:p>
        </w:tc>
      </w:tr>
      <w:tr>
        <w:tc>
          <w:tcPr>
            <w:tcW w:type="dxa" w:w="2880"/>
          </w:tcPr>
          <w:p>
            <w:r>
              <w:rPr>
                <w:b/>
              </w:rPr>
              <w:t>1.4</w:t>
            </w:r>
          </w:p>
        </w:tc>
        <w:tc>
          <w:tcPr>
            <w:tcW w:type="dxa" w:w="2880"/>
          </w:tcPr>
          <w:p>
            <w:r>
              <w:rPr>
                <w:b/>
              </w:rPr>
              <w:t>购买软件等产品，是否有核心知识产权；</w:t>
            </w:r>
          </w:p>
        </w:tc>
        <w:tc>
          <w:tcPr>
            <w:tcW w:type="dxa" w:w="2880"/>
          </w:tcPr>
          <w:p>
            <w:r>
              <w:rPr>
                <w:b/>
              </w:rPr>
              <w:t>❌</w:t>
            </w:r>
          </w:p>
        </w:tc>
      </w:tr>
      <w:tr>
        <w:tc>
          <w:tcPr>
            <w:tcW w:type="dxa" w:w="2880"/>
          </w:tcPr>
          <w:p>
            <w:r>
              <w:rPr>
                <w:b/>
              </w:rPr>
              <w:t>—</w:t>
            </w:r>
          </w:p>
        </w:tc>
        <w:tc>
          <w:tcPr>
            <w:tcW w:type="dxa" w:w="2880"/>
          </w:tcPr>
          <w:p>
            <w:r>
              <w:rPr>
                <w:b/>
              </w:rPr>
              <w:t>【（二）合同框架】</w:t>
            </w:r>
          </w:p>
        </w:tc>
        <w:tc>
          <w:tcPr>
            <w:tcW w:type="dxa" w:w="2880"/>
          </w:tcPr>
          <w:p>
            <w:r>
              <w:rPr>
                <w:b/>
              </w:rPr>
              <w:t>—</w:t>
            </w:r>
          </w:p>
        </w:tc>
      </w:tr>
      <w:tr>
        <w:tc>
          <w:tcPr>
            <w:tcW w:type="dxa" w:w="2880"/>
          </w:tcPr>
          <w:p>
            <w:r>
              <w:rPr>
                <w:b/>
              </w:rPr>
              <w:t>2.1</w:t>
            </w:r>
          </w:p>
        </w:tc>
        <w:tc>
          <w:tcPr>
            <w:tcW w:type="dxa" w:w="2880"/>
          </w:tcPr>
          <w:p>
            <w:r>
              <w:rPr>
                <w:b/>
              </w:rPr>
              <w:t>合同主要项目负责人是否确定、是否预留姓名、身份证号码及电话号码</w:t>
            </w:r>
          </w:p>
        </w:tc>
        <w:tc>
          <w:tcPr>
            <w:tcW w:type="dxa" w:w="2880"/>
          </w:tcPr>
          <w:p>
            <w:r>
              <w:rPr>
                <w:b/>
              </w:rPr>
              <w:t>❌</w:t>
            </w:r>
          </w:p>
        </w:tc>
      </w:tr>
      <w:tr>
        <w:tc>
          <w:tcPr>
            <w:tcW w:type="dxa" w:w="2880"/>
          </w:tcPr>
          <w:p>
            <w:r>
              <w:rPr>
                <w:b/>
              </w:rPr>
              <w:t>2.2</w:t>
            </w:r>
          </w:p>
        </w:tc>
        <w:tc>
          <w:tcPr>
            <w:tcW w:type="dxa" w:w="2880"/>
          </w:tcPr>
          <w:p>
            <w:r>
              <w:rPr>
                <w:b/>
              </w:rPr>
              <w:t>采购内容：品种、规格、型号、等级、花色等应具体注明，必要时可通过附件说明标的物的实际情况。</w:t>
            </w:r>
          </w:p>
        </w:tc>
        <w:tc>
          <w:tcPr>
            <w:tcW w:type="dxa" w:w="2880"/>
          </w:tcPr>
          <w:p>
            <w:r>
              <w:rPr>
                <w:b/>
              </w:rPr>
              <w:t>❌</w:t>
            </w:r>
          </w:p>
        </w:tc>
      </w:tr>
      <w:tr>
        <w:tc>
          <w:tcPr>
            <w:tcW w:type="dxa" w:w="2880"/>
          </w:tcPr>
          <w:p>
            <w:r>
              <w:rPr>
                <w:b/>
              </w:rPr>
              <w:t>2.3</w:t>
            </w:r>
          </w:p>
        </w:tc>
        <w:tc>
          <w:tcPr>
            <w:tcW w:type="dxa" w:w="2880"/>
          </w:tcPr>
          <w:p>
            <w:r>
              <w:rPr>
                <w:b/>
              </w:rPr>
              <w:t>合同金额：数量、价款要明确，包括数额的计量单位，同时写明标的物的单价、总价，币种等。</w:t>
            </w:r>
          </w:p>
        </w:tc>
        <w:tc>
          <w:tcPr>
            <w:tcW w:type="dxa" w:w="2880"/>
          </w:tcPr>
          <w:p>
            <w:r>
              <w:rPr>
                <w:b/>
              </w:rPr>
              <w:t>✅</w:t>
            </w:r>
          </w:p>
        </w:tc>
      </w:tr>
      <w:tr>
        <w:tc>
          <w:tcPr>
            <w:tcW w:type="dxa" w:w="2880"/>
          </w:tcPr>
          <w:p>
            <w:r>
              <w:rPr>
                <w:b/>
              </w:rPr>
              <w:t>2.4</w:t>
            </w:r>
          </w:p>
        </w:tc>
        <w:tc>
          <w:tcPr>
            <w:tcW w:type="dxa" w:w="2880"/>
          </w:tcPr>
          <w:p>
            <w:r>
              <w:rPr>
                <w:b/>
              </w:rPr>
              <w:t>付款计划：要有明确节点确认付款，应预留一部分金额待免费维保期结束后支付，且明确发票类型</w:t>
            </w:r>
          </w:p>
        </w:tc>
        <w:tc>
          <w:tcPr>
            <w:tcW w:type="dxa" w:w="2880"/>
          </w:tcPr>
          <w:p>
            <w:r>
              <w:rPr>
                <w:b/>
              </w:rPr>
              <w:t>❌</w:t>
            </w:r>
          </w:p>
        </w:tc>
      </w:tr>
      <w:tr>
        <w:tc>
          <w:tcPr>
            <w:tcW w:type="dxa" w:w="2880"/>
          </w:tcPr>
          <w:p>
            <w:r>
              <w:rPr>
                <w:b/>
              </w:rPr>
              <w:t>2.5</w:t>
            </w:r>
          </w:p>
        </w:tc>
        <w:tc>
          <w:tcPr>
            <w:tcW w:type="dxa" w:w="2880"/>
          </w:tcPr>
          <w:p>
            <w:r>
              <w:rPr>
                <w:b/>
              </w:rPr>
              <w:t>合同期限：约定具体的合同履行期限，可按照年度、季度、月、旬、日计算；同时，明确各期限的概念，如自然日或工作日、自然季度或</w:t>
            </w:r>
          </w:p>
        </w:tc>
        <w:tc>
          <w:tcPr>
            <w:tcW w:type="dxa" w:w="2880"/>
          </w:tcPr>
          <w:p>
            <w:r>
              <w:rPr>
                <w:b/>
              </w:rPr>
              <w:t>✅</w:t>
            </w:r>
          </w:p>
        </w:tc>
      </w:tr>
      <w:tr>
        <w:tc>
          <w:tcPr>
            <w:tcW w:type="dxa" w:w="2880"/>
          </w:tcPr>
          <w:p>
            <w:r>
              <w:rPr>
                <w:b/>
              </w:rPr>
              <w:t>—</w:t>
            </w:r>
          </w:p>
        </w:tc>
        <w:tc>
          <w:tcPr>
            <w:tcW w:type="dxa" w:w="2880"/>
          </w:tcPr>
          <w:p>
            <w:r>
              <w:rPr>
                <w:b/>
              </w:rPr>
              <w:t>【（三）其他基本问题】</w:t>
            </w:r>
          </w:p>
        </w:tc>
        <w:tc>
          <w:tcPr>
            <w:tcW w:type="dxa" w:w="2880"/>
          </w:tcPr>
          <w:p>
            <w:r>
              <w:rPr>
                <w:b/>
              </w:rPr>
              <w:t>—</w:t>
            </w:r>
          </w:p>
        </w:tc>
      </w:tr>
      <w:tr>
        <w:tc>
          <w:tcPr>
            <w:tcW w:type="dxa" w:w="2880"/>
          </w:tcPr>
          <w:p>
            <w:r>
              <w:rPr>
                <w:b/>
              </w:rPr>
              <w:t>3.1</w:t>
            </w:r>
          </w:p>
        </w:tc>
        <w:tc>
          <w:tcPr>
            <w:tcW w:type="dxa" w:w="2880"/>
          </w:tcPr>
          <w:p>
            <w:r>
              <w:rPr>
                <w:b/>
              </w:rPr>
              <w:t>是否有错别字、是否标题顺序杂乱、是否付款计划所有总和与合同总金额不一致，合同金额大小写不一致、语句语病</w:t>
            </w:r>
          </w:p>
        </w:tc>
        <w:tc>
          <w:tcPr>
            <w:tcW w:type="dxa" w:w="2880"/>
          </w:tcPr>
          <w:p>
            <w:r>
              <w:rPr>
                <w:b/>
              </w:rPr>
              <w:t>✅</w:t>
            </w:r>
          </w:p>
        </w:tc>
      </w:tr>
      <w:tr>
        <w:tc>
          <w:tcPr>
            <w:tcW w:type="dxa" w:w="2880"/>
          </w:tcPr>
          <w:p>
            <w:r>
              <w:rPr>
                <w:b/>
              </w:rPr>
              <w:t>3.2</w:t>
            </w:r>
          </w:p>
        </w:tc>
        <w:tc>
          <w:tcPr>
            <w:tcW w:type="dxa" w:w="2880"/>
          </w:tcPr>
          <w:p>
            <w:r>
              <w:rPr>
                <w:b/>
              </w:rPr>
              <w:t>校验相同条款在正文与附件中约定是否一致</w:t>
            </w:r>
          </w:p>
        </w:tc>
        <w:tc>
          <w:tcPr>
            <w:tcW w:type="dxa" w:w="2880"/>
          </w:tcPr>
          <w:p>
            <w:r>
              <w:rPr>
                <w:b/>
              </w:rPr>
              <w:t>❌</w:t>
            </w:r>
          </w:p>
        </w:tc>
      </w:tr>
      <w:tr>
        <w:tc>
          <w:tcPr>
            <w:tcW w:type="dxa" w:w="2880"/>
          </w:tcPr>
          <w:p>
            <w:r>
              <w:rPr>
                <w:b/>
              </w:rPr>
              <w:t>3.3</w:t>
            </w:r>
          </w:p>
        </w:tc>
        <w:tc>
          <w:tcPr>
            <w:tcW w:type="dxa" w:w="2880"/>
          </w:tcPr>
          <w:p>
            <w:r>
              <w:rPr>
                <w:b/>
              </w:rPr>
              <w:t>校验是否出现招标单位、谈判单位等其他流程中相关用语</w:t>
            </w:r>
          </w:p>
        </w:tc>
        <w:tc>
          <w:tcPr>
            <w:tcW w:type="dxa" w:w="2880"/>
          </w:tcPr>
          <w:p>
            <w:r>
              <w:rPr>
                <w:b/>
              </w:rPr>
              <w:t>❌</w:t>
            </w:r>
          </w:p>
        </w:tc>
      </w:tr>
      <w:tr>
        <w:tc>
          <w:tcPr>
            <w:tcW w:type="dxa" w:w="2880"/>
          </w:tcPr>
          <w:p>
            <w:r>
              <w:rPr>
                <w:b/>
              </w:rPr>
              <w:t>3.4</w:t>
            </w:r>
          </w:p>
        </w:tc>
        <w:tc>
          <w:tcPr>
            <w:tcW w:type="dxa" w:w="2880"/>
          </w:tcPr>
          <w:p>
            <w:r>
              <w:rPr>
                <w:b/>
              </w:rPr>
              <w:t>合同主体名称和签订主体名称首尾须保持一致</w:t>
            </w:r>
          </w:p>
        </w:tc>
        <w:tc>
          <w:tcPr>
            <w:tcW w:type="dxa" w:w="2880"/>
          </w:tcPr>
          <w:p>
            <w:r>
              <w:rPr>
                <w:b/>
              </w:rPr>
              <w:t>❌</w:t>
            </w:r>
          </w:p>
        </w:tc>
      </w:tr>
      <w:tr>
        <w:tc>
          <w:tcPr>
            <w:tcW w:type="dxa" w:w="2880"/>
          </w:tcPr>
          <w:p>
            <w:r>
              <w:rPr>
                <w:b/>
              </w:rPr>
              <w:t>3.5</w:t>
            </w:r>
          </w:p>
        </w:tc>
        <w:tc>
          <w:tcPr>
            <w:tcW w:type="dxa" w:w="2880"/>
          </w:tcPr>
          <w:p>
            <w:r>
              <w:rPr>
                <w:b/>
              </w:rPr>
              <w:t>援引法律校验是否有效</w:t>
            </w:r>
          </w:p>
        </w:tc>
        <w:tc>
          <w:tcPr>
            <w:tcW w:type="dxa" w:w="2880"/>
          </w:tcPr>
          <w:p>
            <w:r>
              <w:rPr>
                <w:b/>
              </w:rPr>
              <w:t>✅</w:t>
            </w:r>
          </w:p>
        </w:tc>
      </w:tr>
      <w:tr>
        <w:tc>
          <w:tcPr>
            <w:tcW w:type="dxa" w:w="2880"/>
          </w:tcPr>
          <w:p>
            <w:r>
              <w:rPr>
                <w:b/>
              </w:rPr>
              <w:t>3.6</w:t>
            </w:r>
          </w:p>
        </w:tc>
        <w:tc>
          <w:tcPr>
            <w:tcW w:type="dxa" w:w="2880"/>
          </w:tcPr>
          <w:p>
            <w:r>
              <w:rPr>
                <w:b/>
              </w:rPr>
              <w:t>正文最后，写上“以下为合同签署栏/以下无正文”的内容</w:t>
            </w:r>
          </w:p>
        </w:tc>
        <w:tc>
          <w:tcPr>
            <w:tcW w:type="dxa" w:w="2880"/>
          </w:tcPr>
          <w:p>
            <w:r>
              <w:rPr>
                <w:b/>
              </w:rPr>
              <w:t>✅</w:t>
            </w:r>
          </w:p>
        </w:tc>
      </w:tr>
    </w:tbl>
    <w:p>
      <w:r/>
    </w:p>
    <w:p>
      <w:r/>
      <w:r>
        <w:rPr>
          <w:b/>
        </w:rPr>
        <w:t>覆盖率：5/15（33%）</w:t>
      </w:r>
      <w:r/>
    </w:p>
    <w:p>
      <w:pPr>
        <w:pBdr>
          <w:bottom w:val="single" w:sz="6" w:space="1" w:color="auto"/>
        </w:pBdr>
      </w:pPr>
      <w:r/>
    </w:p>
    <w:p>
      <w:pPr>
        <w:pStyle w:val="Heading2"/>
      </w:pPr>
      <w:r>
        <w:t>附：Token 消耗统计</w:t>
      </w:r>
      <w:r/>
    </w:p>
    <w:tbl>
      <w:tblPr>
        <w:tblW w:type="auto" w:w="0"/>
        <w:tblLook w:firstColumn="1" w:firstRow="1" w:lastColumn="0" w:lastRow="0" w:noHBand="0" w:noVBand="1" w:val="04A0"/>
      </w:tblPr>
      <w:tblGrid>
        <w:gridCol w:w="4320"/>
        <w:gridCol w:w="4320"/>
      </w:tblGrid>
      <w:tr>
        <w:tc>
          <w:tcPr>
            <w:tcW w:type="dxa" w:w="4320"/>
          </w:tcPr>
          <w:p>
            <w:r>
              <w:rPr>
                <w:b/>
              </w:rPr>
              <w:t>阶段</w:t>
            </w:r>
          </w:p>
        </w:tc>
        <w:tc>
          <w:tcPr>
            <w:tcW w:type="dxa" w:w="4320"/>
          </w:tcPr>
          <w:p>
            <w:r>
              <w:rPr>
                <w:b/>
              </w:rPr>
              <w:t>Token 消耗</w:t>
            </w:r>
          </w:p>
        </w:tc>
      </w:tr>
      <w:tr>
        <w:tc>
          <w:tcPr>
            <w:tcW w:type="dxa" w:w="4320"/>
          </w:tcPr>
          <w:p>
            <w:r>
              <w:t>规划（Planner）</w:t>
            </w:r>
          </w:p>
        </w:tc>
        <w:tc>
          <w:tcPr>
            <w:tcW w:type="dxa" w:w="4320"/>
          </w:tcPr>
          <w:p>
            <w:r>
              <w:t>2,246</w:t>
            </w:r>
          </w:p>
        </w:tc>
      </w:tr>
      <w:tr>
        <w:tc>
          <w:tcPr>
            <w:tcW w:type="dxa" w:w="4320"/>
          </w:tcPr>
          <w:p>
            <w:r>
              <w:t>审查（Sub-Agents + Reflectors）</w:t>
            </w:r>
          </w:p>
        </w:tc>
        <w:tc>
          <w:tcPr>
            <w:tcW w:type="dxa" w:w="4320"/>
          </w:tcPr>
          <w:p>
            <w:r>
              <w:t>26,758</w:t>
            </w:r>
          </w:p>
        </w:tc>
      </w:tr>
      <w:tr>
        <w:tc>
          <w:tcPr>
            <w:tcW w:type="dxa" w:w="4320"/>
          </w:tcPr>
          <w:p>
            <w:r>
              <w:t>汇总（Summarizer）</w:t>
            </w:r>
          </w:p>
        </w:tc>
        <w:tc>
          <w:tcPr>
            <w:tcW w:type="dxa" w:w="4320"/>
          </w:tcPr>
          <w:p>
            <w:r>
              <w:t>9,809</w:t>
            </w:r>
          </w:p>
        </w:tc>
      </w:tr>
      <w:tr>
        <w:tc>
          <w:tcPr>
            <w:tcW w:type="dxa" w:w="4320"/>
          </w:tcPr>
          <w:p>
            <w:r>
              <w:rPr>
                <w:b/>
              </w:rPr>
              <w:t>合计</w:t>
            </w:r>
          </w:p>
        </w:tc>
        <w:tc>
          <w:tcPr>
            <w:tcW w:type="dxa" w:w="4320"/>
          </w:tcPr>
          <w:p>
            <w:r>
              <w:rPr>
                <w:b/>
              </w:rPr>
              <w:t>38,813</w:t>
            </w:r>
          </w:p>
        </w:tc>
      </w:tr>
    </w:tbl>
    <w:p>
      <w:r/>
    </w:p>
    <w:p>
      <w:pPr>
        <w:pBdr>
          <w:bottom w:val="single" w:sz="6" w:space="1" w:color="auto"/>
        </w:pBdr>
      </w:pPr>
      <w:r/>
    </w:p>
    <w:p>
      <w:pPr>
        <w:pStyle w:val="Heading2"/>
      </w:pPr>
      <w:r>
        <w:t>附：报告生成信息</w:t>
      </w:r>
      <w:r/>
      <w:r/>
    </w:p>
    <w:p>
      <w:pPr>
        <w:pStyle w:val="ListBullet"/>
        <w:spacing w:line="240" w:lineRule="auto"/>
        <w:ind w:left="720"/>
      </w:pPr>
      <w:r/>
      <w:r>
        <w:rPr>
          <w:b/>
        </w:rPr>
        <w:t>总耗时</w:t>
      </w:r>
      <w:r>
        <w:t>: 6m 6s</w:t>
      </w:r>
      <w:r/>
    </w:p>
    <w:p>
      <w:pPr>
        <w:pStyle w:val="ListBullet"/>
        <w:spacing w:line="240" w:lineRule="auto"/>
        <w:ind w:left="720"/>
      </w:pPr>
      <w:r/>
      <w:r>
        <w:rPr>
          <w:b/>
        </w:rPr>
        <w:t>生成时间</w:t>
      </w:r>
      <w:r>
        <w:t>: 2026-03-03 11:32</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