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</w:p>
    <w:p>
      <w:pPr>
        <w:pStyle w:val="Heading1"/>
      </w:pPr>
      <w:r>
        <w:t>合同审查报告</w:t>
      </w:r>
      <w:r/>
    </w:p>
    <w:p>
      <w:pPr>
        <w:pStyle w:val="Heading2"/>
      </w:pPr>
      <w:r>
        <w:t>一、审查概要</w:t>
      </w:r>
      <w:r/>
      <w:r/>
    </w:p>
    <w:p>
      <w:pPr>
        <w:pStyle w:val="ListBullet"/>
        <w:spacing w:line="240" w:lineRule="auto"/>
        <w:ind w:left="720"/>
      </w:pPr>
      <w:r/>
      <w:r>
        <w:t xml:space="preserve">审查标准数量：15项 </w:t>
      </w:r>
      <w:r/>
    </w:p>
    <w:p>
      <w:pPr>
        <w:pStyle w:val="ListBullet"/>
        <w:spacing w:line="240" w:lineRule="auto"/>
        <w:ind w:left="720"/>
      </w:pPr>
      <w:r/>
      <w:r>
        <w:t xml:space="preserve">发现问题总数：4项 </w:t>
      </w:r>
      <w:r/>
    </w:p>
    <w:p>
      <w:pPr>
        <w:pStyle w:val="ListBullet"/>
        <w:spacing w:line="240" w:lineRule="auto"/>
        <w:ind w:left="720"/>
      </w:pPr>
      <w:r/>
      <w:r>
        <w:t xml:space="preserve">高风险问题数量：1项 </w:t>
      </w:r>
      <w:r/>
    </w:p>
    <w:p>
      <w:pPr>
        <w:pStyle w:val="ListBullet"/>
        <w:spacing w:line="240" w:lineRule="auto"/>
        <w:ind w:left="720"/>
      </w:pPr>
      <w:r/>
      <w:r>
        <w:t xml:space="preserve">中风险问题数量：3项 </w:t>
      </w:r>
      <w:r/>
    </w:p>
    <w:p>
      <w:pPr>
        <w:pStyle w:val="ListBullet"/>
        <w:spacing w:line="240" w:lineRule="auto"/>
        <w:ind w:left="720"/>
      </w:pPr>
      <w:r/>
      <w:r>
        <w:t xml:space="preserve">低风险问题数量：0项 </w:t>
      </w:r>
      <w:r/>
      <w:r/>
    </w:p>
    <w:p>
      <w:pPr>
        <w:pStyle w:val="Heading2"/>
      </w:pPr>
      <w:r>
        <w:t>二、风险总览表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审查领域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主要问题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具体问题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风险等级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（三）其他基本问题</w:t>
            </w:r>
          </w:p>
        </w:tc>
        <w:tc>
          <w:tcPr>
            <w:tcW w:type="dxa" w:w="1728"/>
          </w:tcPr>
          <w:p>
            <w:r>
              <w:t>条款内容前后不一致</w:t>
            </w:r>
          </w:p>
        </w:tc>
        <w:tc>
          <w:tcPr>
            <w:tcW w:type="dxa" w:w="1728"/>
          </w:tcPr>
          <w:p>
            <w:r>
              <w:t>附件一与附件二对CDN加速服务“服务可用性”标准约定不一致（99% vs 99.9%），构成实质性条款冲突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（三）其他基本问题</w:t>
            </w:r>
          </w:p>
        </w:tc>
        <w:tc>
          <w:tcPr>
            <w:tcW w:type="dxa" w:w="1728"/>
          </w:tcPr>
          <w:p>
            <w:r>
              <w:t>使用招投标阶段专属术语</w:t>
            </w:r>
          </w:p>
        </w:tc>
        <w:tc>
          <w:tcPr>
            <w:tcW w:type="dxa" w:w="1728"/>
          </w:tcPr>
          <w:p>
            <w:r>
              <w:t>合同首部出现“公开招标编号”“乙方投标承诺”等与正式合同法律属性不符的表述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（三）其他基本问题</w:t>
            </w:r>
          </w:p>
        </w:tc>
        <w:tc>
          <w:tcPr>
            <w:tcW w:type="dxa" w:w="1728"/>
          </w:tcPr>
          <w:p>
            <w:r>
              <w:t>法律援引不规范、概念错误</w:t>
            </w:r>
          </w:p>
        </w:tc>
        <w:tc>
          <w:tcPr>
            <w:tcW w:type="dxa" w:w="1728"/>
          </w:tcPr>
          <w:p>
            <w:r>
              <w:t>第13.2条使用“中国大陆法律法规（不包括冲突法）”这一非法定、不准确且可能排除强制性法律适用的表述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（三）其他基本问题</w:t>
            </w:r>
          </w:p>
        </w:tc>
        <w:tc>
          <w:tcPr>
            <w:tcW w:type="dxa" w:w="1728"/>
          </w:tcPr>
          <w:p>
            <w:r>
              <w:t>正文结尾缺乏形式分隔标识</w:t>
            </w:r>
          </w:p>
        </w:tc>
        <w:tc>
          <w:tcPr>
            <w:tcW w:type="dxa" w:w="1728"/>
          </w:tcPr>
          <w:p>
            <w:r>
              <w:t>合同正文终止于附件六末尾，未设置“以下为合同签署栏”或“以下无正文”等明确分隔标识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</w:tbl>
    <w:p>
      <w:r/>
    </w:p>
    <w:p>
      <w:pPr>
        <w:pStyle w:val="Heading2"/>
      </w:pPr>
      <w:r>
        <w:t>三、审查详情</w:t>
      </w:r>
      <w:r/>
    </w:p>
    <w:p>
      <w:pPr>
        <w:pStyle w:val="Heading3"/>
      </w:pPr>
      <w:r>
        <w:t>（三）其他基本问题</w:t>
      </w:r>
      <w:r/>
    </w:p>
    <w:p>
      <w:pPr>
        <w:pStyle w:val="Heading4"/>
      </w:pPr>
      <w:r>
        <w:t>检查要点 1.1：校验相同条款在正文与附件中约定是否一致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风险等级</w:t>
      </w:r>
      <w:r>
        <w:t xml:space="preserve">：高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审查结论</w:t>
      </w:r>
      <w:r>
        <w:t xml:space="preserve">：附件一（合同内容清单）与附件二（工作任务说明书）对同一服务——CDN加速服务的“服务可用性”标准约定不一致，构成实质性条款冲突，可能引发履约争议及赔偿责任认定分歧。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原文引用</w:t>
      </w:r>
      <w:r>
        <w:t xml:space="preserve">： </w:t>
      </w:r>
      <w:r/>
    </w:p>
    <w:p>
      <w:r/>
      <w:r>
        <w:t xml:space="preserve">二、验收要求 </w:t>
      </w:r>
      <w:r/>
      <w:r/>
    </w:p>
    <w:p>
      <w:pPr>
        <w:pStyle w:val="ListNumber"/>
        <w:spacing w:line="240" w:lineRule="auto"/>
        <w:ind w:left="1440"/>
      </w:pPr>
      <w:r/>
      <w:r>
        <w:t xml:space="preserve">CDN加速后，全国范围内用户访问甲方互联网类系统可用性不低于99%。 </w:t>
      </w:r>
      <w:r/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所在位置</w:t>
      </w:r>
      <w:r>
        <w:t xml:space="preserve">：附件一《合同内容清单》第二条“验收要求”第1款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问题分析</w:t>
      </w:r>
      <w:r>
        <w:t xml:space="preserve">：附件一将CDN加速服务的可用性验收标准设定为“不低于99%”，而附件二第四条明确约定“乙方保证甲方购买的服务的‘服务可用性’达到99.9%”。二者针对同一服务项下的核心服务质量指标作出不同量化承诺，且均属具有法律约束力的合同组成部分；该差异未被正文条款协调或明确优先适用关系，易导致服务达标判断、违约认定及SLA赔偿触发条件产生歧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法律依据</w:t>
      </w:r>
      <w:r>
        <w:t xml:space="preserve">：《中华人民共和国民法典》第五百一十条：“合同生效后，当事人就质量、价款或者报酬、履行地点等内容没有约定或者约定不明确的，可以协议补充；不能达成补充协议的，按照合同相关条款或者交易习惯确定。” 第五百一十一条第一项：“当事人就有关合同内容约定不明确，依据前条规定仍不能确定的，适用下列规定：（一）当事人对质量要求不明确的，按照强制性国家标准履行；没有强制性国家标准的，按照推荐性国家标准履行；没有推荐性国家标准的，按照行业标准履行；没有国家标准、行业标准的，按照通常标准或者符合合同目的的特定标准履行。”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修改建议</w:t>
      </w:r>
      <w:r>
        <w:t xml:space="preserve">： </w:t>
      </w:r>
      <w:r/>
    </w:p>
    <w:p>
      <w:r/>
      <w:r>
        <w:t xml:space="preserve">二、验收要求 </w:t>
      </w:r>
      <w:r/>
      <w:r/>
    </w:p>
    <w:p>
      <w:pPr>
        <w:pStyle w:val="ListNumber"/>
        <w:spacing w:line="240" w:lineRule="auto"/>
        <w:ind w:left="1440"/>
      </w:pPr>
      <w:r/>
      <w:r>
        <w:t>CDN加速后，全国范围内用户访问甲方互联网类系统可用性不低于99.9%。</w:t>
      </w:r>
      <w:r/>
      <w:r/>
      <w:r/>
      <w:r/>
      <w:r/>
    </w:p>
    <w:p>
      <w:pPr>
        <w:pStyle w:val="Heading4"/>
      </w:pPr>
      <w:r>
        <w:t>检查要点 1.2：校验是否出现招标单位、谈判单位等其他流程中相关用语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风险等级</w:t>
      </w:r>
      <w:r>
        <w:t xml:space="preserve">：中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审查结论</w:t>
      </w:r>
      <w:r>
        <w:t xml:space="preserve">：合同首部使用“公开招标编号”及“乙方投标承诺”等招投标程序专属术语，与本合同作为已签署的正式采购合同的法律属性不匹配，易引发对合同签约程序完整性及意思表示真实性的质疑。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原文引用</w:t>
      </w:r>
      <w:r>
        <w:t xml:space="preserve">： </w:t>
      </w:r>
      <w:r/>
    </w:p>
    <w:p>
      <w:r/>
      <w:r>
        <w:t xml:space="preserve">根据浙江农村商业联合银行股份有限公司互联网类系统CDN加速服务项目(三年)采购(公开招标编号ZRUB-2025-06-03-08-C002)要求及乙方投标承诺，按照《中华人民共和国民法典》等法律法规的规定，甲、乙双方本着平等、自愿、诚实信用原则，经充分协商，就甲方向乙方采购互联网类系统CDN加速服务项目(三年)事宜订立本合同，以兹双方共同遵守。 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所在位置</w:t>
      </w:r>
      <w:r>
        <w:t xml:space="preserve">：合同首部引言段（签约依据说明部分）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问题分析</w:t>
      </w:r>
      <w:r>
        <w:t xml:space="preserve">：“公开招标编号”“投标承诺”系招投标阶段过程性文件所用术语，适用于招标公告、投标函、中标通知书等环节；而本合同为缔约完成后的正式书面协议，其法律效力基础应为中标结果及双方最终合意，而非投标阶段单方承诺。当前表述混淆行政程序阶段与民事合同关系，可能被理解为合同尚未完成法定签约要件，或存在将投标文件内容机械转录为合同条款之嫌，削弱合同独立性、合意真实性及法律确定性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法律依据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《中华人民共和国招标投标法》第四十六条：“招标人和中标人应当自中标通知书发出之日起三十日内，按照招标文件和中标人的投标文件订立书面合同。”——明确中标通知书为签订正式合同的前提，合同文本不得再以“投标承诺”作为直接缔约依据； </w:t>
      </w:r>
      <w:r/>
    </w:p>
    <w:p>
      <w:pPr>
        <w:pStyle w:val="ListBullet"/>
        <w:spacing w:line="240" w:lineRule="auto"/>
        <w:ind w:left="720"/>
      </w:pPr>
      <w:r/>
      <w:r>
        <w:t xml:space="preserve">《中华人民共和国民法典》第一百四十三条：“具备下列条件的民事法律行为有效：（一）行为人具有相应的民事行为能力；（二）意思表示真实；（三）不违反法律、行政法规的强制性规定，不违背公序良俗。”——不当使用程序性术语可能影响“意思表示真实”这一效力要件的外观认定，增加履约争议与效力瑕疵风险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修改建议</w:t>
      </w:r>
      <w:r>
        <w:t xml:space="preserve">： </w:t>
      </w:r>
      <w:r/>
    </w:p>
    <w:p>
      <w:r/>
      <w:r>
        <w:t>根据浙江农村商业联合银行股份有限公司互联网类系统CDN加速服务项目（三年）采购的中标结果（中标通知书编号：ZRUB-2025-06-03-08-C002），以及乙方在投标文件中所作实质性响应与承诺，按照《中华人民共和国民法典》等法律法规的规定，甲、乙双方本着平等、自愿、诚实信用原则，经充分协商，就甲方向乙方采购互联网类系统CDN加速服务项目（三年）事宜订立本合同，以兹双方共同遵守。</w:t>
      </w:r>
      <w:r/>
      <w:r/>
      <w:r/>
      <w:r/>
    </w:p>
    <w:p>
      <w:pPr>
        <w:pStyle w:val="Heading4"/>
      </w:pPr>
      <w:r>
        <w:t>检查要点 1.3：援引法律校验是否有效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风险等级</w:t>
      </w:r>
      <w:r>
        <w:t xml:space="preserve">：中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审查结论</w:t>
      </w:r>
      <w:r>
        <w:t xml:space="preserve">：合同第13.2条关于“适用中国大陆法律法规（不包括冲突法）”的表述存在法律概念错误、术语不规范及规则适用缺位风险，可能导致法律适用条款无效或引发解释争议。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原文引用</w:t>
      </w:r>
      <w:r>
        <w:t xml:space="preserve">： </w:t>
      </w:r>
      <w:r/>
    </w:p>
    <w:p>
      <w:r/>
      <w:r>
        <w:t xml:space="preserve">13.2 本协议的成立、生效、履行、解释及纠纷解决等，均适用中国大陆法律法规（不包括冲突法）。 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所在位置</w:t>
      </w:r>
      <w:r>
        <w:t xml:space="preserve">：第十三条第13.2款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问题分析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“中国大陆法律法规”非法定规范表述，我国法律体系中无此统称；《立法法》明确区分法律、行政法规、地方性法规、司法解释等不同效力层级，笼统使用易导致适用范围不明； </w:t>
      </w:r>
      <w:r/>
    </w:p>
    <w:p>
      <w:pPr>
        <w:pStyle w:val="ListBullet"/>
        <w:spacing w:line="240" w:lineRule="auto"/>
        <w:ind w:left="720"/>
      </w:pPr>
      <w:r/>
      <w:r>
        <w:t xml:space="preserve">“冲突法”并非我国现行法律中的正式术语，系国际私法的学术别称；《涉外民事关系法律适用法》是我国专门规定涉外民商事关系准据法选择的法律，属于“中华人民共和国法律”范畴，合同单列排除“冲突法”，实质可能被认定为排除该法本身，违反其第2条关于法律适用规则强制性确立的规定； </w:t>
      </w:r>
      <w:r/>
    </w:p>
    <w:p>
      <w:pPr>
        <w:pStyle w:val="ListBullet"/>
        <w:spacing w:line="240" w:lineRule="auto"/>
        <w:ind w:left="720"/>
      </w:pPr>
      <w:r/>
      <w:r>
        <w:t xml:space="preserve">若合同具备涉外因素（如当事人含境外主体、履行地或标的物位于境外等），该条款将因不当排除《涉外民事关系法律适用法》而导致法律适用规则缺失，进而影响纠纷解决的确定性与可执行性。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法律依据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《中华人民共和国立法法》第八条、第六十五条； </w:t>
      </w:r>
      <w:r/>
    </w:p>
    <w:p>
      <w:pPr>
        <w:pStyle w:val="ListBullet"/>
        <w:spacing w:line="240" w:lineRule="auto"/>
        <w:ind w:left="720"/>
      </w:pPr>
      <w:r/>
      <w:r>
        <w:t xml:space="preserve">《中华人民共和国涉外民事关系法律适用法》第二条； </w:t>
      </w:r>
      <w:r/>
    </w:p>
    <w:p>
      <w:pPr>
        <w:pStyle w:val="ListBullet"/>
        <w:spacing w:line="240" w:lineRule="auto"/>
        <w:ind w:left="720"/>
      </w:pPr>
      <w:r/>
      <w:r>
        <w:t xml:space="preserve">《最高人民法院关于适用〈中华人民共和国涉外民事关系法律适用法〉若干问题的解释（一）》第一条。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修改建议</w:t>
      </w:r>
      <w:r>
        <w:t xml:space="preserve">： </w:t>
      </w:r>
      <w:r/>
    </w:p>
    <w:p>
      <w:r/>
      <w:r>
        <w:t>13.2 本协议的成立、生效、履行、解释及纠纷解决等，均适用中华人民共和国法律（不含国际条约及协定，但中华人民共和国缔结或参加的国际条约另有规定的除外）；如本协议涉及涉外民事关系，相关法律适用问题依照《中华人民共和国涉外民事关系法律适用法》确定。</w:t>
      </w:r>
      <w:r/>
      <w:r/>
      <w:r/>
      <w:r/>
    </w:p>
    <w:p>
      <w:pPr>
        <w:pStyle w:val="Heading4"/>
      </w:pPr>
      <w:r>
        <w:t>检查要点 1.4：正文最后，写上“以下为合同签署栏/以下无正文”的内容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风险等级</w:t>
      </w:r>
      <w:r>
        <w:t xml:space="preserve">：中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审查结论</w:t>
      </w:r>
      <w:r>
        <w:t xml:space="preserve">：合同正文终止于附件六末尾，其后直接衔接甲乙双方签章栏，未在正文终结处设置“以下为合同签署栏”或“以下无正文”等明确分隔标识，不符合正式合同的形式规范要求，存在正文完整性被质疑、签署栏前内容被误认为正文条款或事后篡改的风险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原文引用</w:t>
      </w:r>
      <w:r>
        <w:t xml:space="preserve">： </w:t>
      </w:r>
      <w:r/>
    </w:p>
    <w:p>
      <w:r/>
      <w:r>
        <w:t>附件六</w:t>
        <w:br/>
      </w:r>
      <w:r>
        <w:t xml:space="preserve">购买/使用腾讯云境外服务附录 </w:t>
      </w:r>
      <w:r/>
    </w:p>
    <w:p>
      <w:r/>
      <w:r>
        <w:t xml:space="preserve">如果甲方希望购买\使用到境外国家和地区的服务，则本采购合同以及本附录条款（以下统称为 ”本协议“）是腾讯云与甲方，就甲方使用腾讯云境外服务的相关事项签订的合同。本附录中使用但未定义的任何术语应具有本采购合同所赋予的含义。 </w:t>
      </w:r>
      <w:r/>
    </w:p>
    <w:p>
      <w:r/>
      <w:r>
        <w:t xml:space="preserve">……（附件六全文结束） </w:t>
      </w:r>
      <w:r/>
    </w:p>
    <w:p>
      <w:r/>
      <w:r>
        <w:t>甲方：浙江农村商业联合银行股份有限公司 乙方：腾讯云计算（北京）有限责任公司</w:t>
        <w:br/>
      </w:r>
      <w:r>
        <w:t xml:space="preserve">（加盖单位公章或合同专用章） （加盖单位公章或合同专用章） </w:t>
      </w:r>
      <w:r/>
    </w:p>
    <w:p>
      <w:r/>
      <w:r>
        <w:t>法定代表人或授权代理人 法定代表人或授权代理人</w:t>
        <w:br/>
      </w:r>
      <w:r>
        <w:t xml:space="preserve">（签字或加盖人名章）： （签字或加盖人名章）： </w:t>
      </w:r>
      <w:r/>
    </w:p>
    <w:p>
      <w:r/>
      <w:r>
        <w:t xml:space="preserve">日期：2025年 月 日 日期：2025年 月 日 </w:t>
      </w:r>
      <w:r/>
    </w:p>
    <w:p>
      <w:r/>
      <w:r>
        <w:t xml:space="preserve">（注：涉及授权代理人签署的，请附法定代表人出具的授权书） 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所在位置</w:t>
      </w:r>
      <w:r>
        <w:t xml:space="preserve">：合同正文末尾（附件六之后、签署栏之前）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问题分析</w:t>
      </w:r>
      <w:r>
        <w:t xml:space="preserve">：缺乏“以下为合同签署栏”或“以下无正文”等明确分隔标识，将导致合同实质性内容边界模糊，易引发对正文是否完整、是否存在未披露补充条款或签署栏前文字是否构成合同条款的争议；在诉讼或仲裁中，可能削弱合同作为私文书证的整体真实性推定效力，增加举证负担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法律依据</w:t>
      </w:r>
      <w:r>
        <w:t xml:space="preserve">：《中华人民共和国民法典》第四百七十条虽未强制规定该字样，但强调合同应具备清晰、可识别的结构要素；《最高人民法院关于民事诉讼证据的若干规定》第九十二条明确私文书证的真实性需结合形式完整性综合判断；另参照《GB/T 9704—2012 党政机关公文格式》及《GB/T 15834—2011 标点符号用法》对正式文书页末分隔的规范要求，商业合同作为具有同等法律效力的私文书证，应遵循形式严谨性标准。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修改建议</w:t>
      </w:r>
      <w:r>
        <w:t xml:space="preserve">： </w:t>
      </w:r>
      <w:r/>
    </w:p>
    <w:p>
      <w:r/>
      <w:r>
        <w:t>以下为合同签署栏</w:t>
      </w:r>
      <w:r/>
      <w:r/>
      <w:r/>
      <w:r/>
    </w:p>
    <w:p>
      <w:pPr>
        <w:pStyle w:val="Heading2"/>
      </w:pPr>
      <w:r>
        <w:t>四、优先处理建议</w:t>
      </w:r>
      <w:r/>
    </w:p>
    <w:p>
      <w:r/>
      <w:r>
        <w:t>按风险等级排序，列出需要优先处理的问题（注意剔除所有风险等级为“无”的合规项目）：</w:t>
      </w:r>
      <w:r/>
    </w:p>
    <w:p>
      <w:pPr>
        <w:pStyle w:val="Heading3"/>
      </w:pPr>
      <w:r>
        <w:t>（一）必须立即修订的高风险问题</w:t>
      </w:r>
      <w:r/>
      <w:r/>
    </w:p>
    <w:p>
      <w:pPr>
        <w:pStyle w:val="ListBullet"/>
        <w:spacing w:line="240" w:lineRule="auto"/>
        <w:ind w:left="720"/>
      </w:pPr>
      <w:r/>
      <w:r>
        <w:t>统一附件一《合同内容清单》第二条“验收要求”第1款中CDN加速服务的“服务可用性”标准，修改为“不低于99.9%”，以与附件二第四条约定保持一致，消除实质性条款冲突。</w:t>
      </w:r>
      <w:r/>
      <w:r/>
    </w:p>
    <w:p>
      <w:pPr>
        <w:pStyle w:val="Heading3"/>
      </w:pPr>
      <w:r>
        <w:t>（二）建议同步修订的中风险问题</w:t>
      </w:r>
      <w:r/>
      <w:r/>
    </w:p>
    <w:p>
      <w:pPr>
        <w:pStyle w:val="ListBullet"/>
        <w:spacing w:line="240" w:lineRule="auto"/>
        <w:ind w:left="720"/>
      </w:pPr>
      <w:r/>
      <w:r>
        <w:t xml:space="preserve">将合同首部引言段中“公开招标编号”“乙方投标承诺”等招投标程序性表述，调整为基于中标结果及投标文件实质性响应的规范表述，明确合同缔结依据为中标通知书及双方合意。 </w:t>
      </w:r>
      <w:r/>
    </w:p>
    <w:p>
      <w:pPr>
        <w:pStyle w:val="ListBullet"/>
        <w:spacing w:line="240" w:lineRule="auto"/>
        <w:ind w:left="720"/>
      </w:pPr>
      <w:r/>
      <w:r>
        <w:t xml:space="preserve">修改第13.2条法律适用条款，删除“中国大陆法律法规（不包括冲突法）”的错误表述，采用“中华人民共和国法律（不含国际条约及协定……）”并明确涉外情形下适用《涉外民事关系法律适用法》的指引。 </w:t>
      </w:r>
      <w:r/>
    </w:p>
    <w:p>
      <w:pPr>
        <w:pStyle w:val="ListBullet"/>
        <w:spacing w:line="240" w:lineRule="auto"/>
        <w:ind w:left="720"/>
      </w:pPr>
      <w:r/>
      <w:r>
        <w:t>在附件六全文结束后、签署栏之前增加“以下为合同签署栏”字样，作为正文终结的明确形式标识，确保合同结构完整、边界清晰。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附：审查标准覆盖核查表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审查内容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审查状态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【（一）合同主体】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通过工商数据比对该签约主体是否存在重大涉法涉诉事项；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核对经营范围，合同标的是否在经营范围之内；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合同提供信息是否齐全，是否与工商登记一致，包括联系地址、联系电话、传真、法定代表人或负责人、联系人等信息；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购买软件等产品，是否有核心知识产权；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【（二）合同框架】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合同主要项目负责人是否确定、是否预留姓名、身份证号码及电话号码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采购内容：品种、规格、型号、等级、花色等应具体注明，必要时可通过附件说明标的物的实际情况。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合同金额：数量、价款要明确，包括数额的计量单位，同时写明标的物的单价、总价，币种等。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付款计划：要有明确节点确认付款，应预留一部分金额待免费维保期结束后支付，且明确发票类型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合同期限：约定具体的合同履行期限，可按照年度、季度、月、旬、日计算；同时，明确各期限的概念，如自然日或工作日、自然季度或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【（三）其他基本问题】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是否有错别字、是否标题顺序杂乱、是否付款计划所有总和与合同总金额不一致，合同金额大小写不一致、语句语病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校验相同条款在正文与附件中约定是否一致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校验是否出现招标单位、谈判单位等其他流程中相关用语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合同主体名称和签订主体名称首尾须保持一致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援引法律校验是否有效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正文最后，写上“以下为合同签署栏/以下无正文”的内容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</w:tbl>
    <w:p>
      <w:r/>
    </w:p>
    <w:p>
      <w:r/>
      <w:r>
        <w:rPr>
          <w:b/>
        </w:rPr>
        <w:t>覆盖率：5/15（33%）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附：Token 消耗统计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Token 消耗</w:t>
            </w:r>
          </w:p>
        </w:tc>
      </w:tr>
      <w:tr>
        <w:tc>
          <w:tcPr>
            <w:tcW w:type="dxa" w:w="4320"/>
          </w:tcPr>
          <w:p>
            <w:r>
              <w:t>规划（Planner）</w:t>
            </w:r>
          </w:p>
        </w:tc>
        <w:tc>
          <w:tcPr>
            <w:tcW w:type="dxa" w:w="4320"/>
          </w:tcPr>
          <w:p>
            <w:r>
              <w:t>2,246</w:t>
            </w:r>
          </w:p>
        </w:tc>
      </w:tr>
      <w:tr>
        <w:tc>
          <w:tcPr>
            <w:tcW w:type="dxa" w:w="4320"/>
          </w:tcPr>
          <w:p>
            <w:r>
              <w:t>审查（Sub-Agents + Reflectors）</w:t>
            </w:r>
          </w:p>
        </w:tc>
        <w:tc>
          <w:tcPr>
            <w:tcW w:type="dxa" w:w="4320"/>
          </w:tcPr>
          <w:p>
            <w:r>
              <w:t>44,335</w:t>
            </w:r>
          </w:p>
        </w:tc>
      </w:tr>
      <w:tr>
        <w:tc>
          <w:tcPr>
            <w:tcW w:type="dxa" w:w="4320"/>
          </w:tcPr>
          <w:p>
            <w:r>
              <w:t>汇总（Summarizer）</w:t>
            </w:r>
          </w:p>
        </w:tc>
        <w:tc>
          <w:tcPr>
            <w:tcW w:type="dxa" w:w="4320"/>
          </w:tcPr>
          <w:p>
            <w:r>
              <w:t>11,331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57,912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附：报告生成信息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总耗时</w:t>
      </w:r>
      <w:r>
        <w:t>: 6m 41s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生成时间</w:t>
      </w:r>
      <w:r>
        <w:t>: 2026-03-03 11:42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