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12B" w:rsidRDefault="00CF612B">
      <w:pPr>
        <w:pStyle w:val="Heading1"/>
      </w:pPr>
      <w:r>
        <w:t xml:space="preserve">Institutionele toelichting </w:t>
      </w:r>
      <w:r w:rsidR="00CB0EE8">
        <w:t xml:space="preserve">Gedeputeerde Staten van </w:t>
      </w:r>
      <w:r w:rsidR="00512927">
        <w:t>Nijmegen</w:t>
      </w:r>
      <w:r w:rsidR="000059D1">
        <w:t xml:space="preserve"> (Gelderland)</w:t>
      </w:r>
      <w:r w:rsidR="00FE3F63">
        <w:t xml:space="preserve"> </w:t>
      </w:r>
      <w:r w:rsidR="003F3E94">
        <w:t xml:space="preserve">(1588 – 1795) </w:t>
      </w:r>
    </w:p>
    <w:p w:rsidR="00CF612B" w:rsidRDefault="00CF612B"/>
    <w:p w:rsidR="00CF612B" w:rsidRDefault="00CF612B"/>
    <w:p w:rsidR="00CF612B" w:rsidRDefault="00CF612B">
      <w:pPr>
        <w:rPr>
          <w:b/>
        </w:rPr>
      </w:pPr>
      <w:r>
        <w:rPr>
          <w:b/>
        </w:rPr>
        <w:t>Naam college</w:t>
      </w:r>
    </w:p>
    <w:p w:rsidR="00CF612B" w:rsidRDefault="003F3E94">
      <w:r>
        <w:t>Gedeputeerde Staten van Nijmegen</w:t>
      </w:r>
    </w:p>
    <w:p w:rsidR="003F3E94" w:rsidRDefault="003F3E94">
      <w:pPr>
        <w:rPr>
          <w:b/>
        </w:rPr>
      </w:pPr>
    </w:p>
    <w:p w:rsidR="00CF612B" w:rsidRDefault="00CF612B">
      <w:pPr>
        <w:rPr>
          <w:b/>
        </w:rPr>
      </w:pPr>
      <w:r>
        <w:rPr>
          <w:b/>
        </w:rPr>
        <w:t>Datum oprichting</w:t>
      </w:r>
    </w:p>
    <w:p w:rsidR="00CF612B" w:rsidRDefault="004006BF">
      <w:r>
        <w:t>1593</w:t>
      </w:r>
    </w:p>
    <w:p w:rsidR="003F3E94" w:rsidRDefault="003F3E94">
      <w:pPr>
        <w:rPr>
          <w:b/>
        </w:rPr>
      </w:pPr>
    </w:p>
    <w:p w:rsidR="00CF612B" w:rsidRDefault="00CF612B">
      <w:pPr>
        <w:rPr>
          <w:b/>
        </w:rPr>
      </w:pPr>
      <w:r>
        <w:rPr>
          <w:b/>
        </w:rPr>
        <w:t>Datum opheffing</w:t>
      </w:r>
    </w:p>
    <w:p w:rsidR="00CF612B" w:rsidRDefault="003B0920">
      <w:r>
        <w:t>1795</w:t>
      </w:r>
    </w:p>
    <w:p w:rsidR="003F3E94" w:rsidRDefault="003F3E94">
      <w:pPr>
        <w:rPr>
          <w:b/>
        </w:rPr>
      </w:pPr>
    </w:p>
    <w:p w:rsidR="00CF612B" w:rsidRDefault="00CF612B">
      <w:pPr>
        <w:rPr>
          <w:b/>
        </w:rPr>
      </w:pPr>
      <w:r>
        <w:rPr>
          <w:b/>
        </w:rPr>
        <w:t>Vestigingsplaats</w:t>
      </w:r>
    </w:p>
    <w:p w:rsidR="00CF612B" w:rsidRDefault="003F3E94">
      <w:r>
        <w:t>Nijmegen</w:t>
      </w:r>
    </w:p>
    <w:p w:rsidR="003F3E94" w:rsidRDefault="003F3E94">
      <w:pPr>
        <w:rPr>
          <w:b/>
        </w:rPr>
      </w:pPr>
    </w:p>
    <w:p w:rsidR="00CF612B" w:rsidRDefault="00CF612B">
      <w:pPr>
        <w:rPr>
          <w:b/>
        </w:rPr>
      </w:pPr>
      <w:r>
        <w:rPr>
          <w:b/>
        </w:rPr>
        <w:t>Zetelaantal</w:t>
      </w:r>
    </w:p>
    <w:p w:rsidR="00CF612B" w:rsidRDefault="00346EBD">
      <w:r>
        <w:t>1593 – 1596: 2 zetels</w:t>
      </w:r>
      <w:r w:rsidR="00B60E18">
        <w:t xml:space="preserve"> voor ordinaris-gedeputeerden</w:t>
      </w:r>
    </w:p>
    <w:p w:rsidR="00B60E18" w:rsidRDefault="00346EBD" w:rsidP="00B60E18">
      <w:r>
        <w:t>1596 – 1</w:t>
      </w:r>
      <w:r w:rsidR="00E03410">
        <w:t>601</w:t>
      </w:r>
      <w:r>
        <w:t>: 4 zetels</w:t>
      </w:r>
      <w:r w:rsidR="00B60E18">
        <w:t xml:space="preserve"> voor ordinaris-gedeputeerden</w:t>
      </w:r>
    </w:p>
    <w:p w:rsidR="00B60E18" w:rsidRDefault="00E03410" w:rsidP="00B60E18">
      <w:r>
        <w:t>1601</w:t>
      </w:r>
      <w:r w:rsidR="00346EBD">
        <w:t xml:space="preserve"> – 1795: 6 zetels</w:t>
      </w:r>
      <w:r w:rsidR="00B60E18">
        <w:t xml:space="preserve"> voor ordinaris-gedeputeerden</w:t>
      </w:r>
    </w:p>
    <w:p w:rsidR="00346EBD" w:rsidRDefault="00B60E18">
      <w:r>
        <w:t>Hiernaast waren er zes extraordinaris gedeputeerden</w:t>
      </w:r>
      <w:r w:rsidR="00CB435F">
        <w:t xml:space="preserve">. </w:t>
      </w:r>
      <w:r w:rsidR="00A72585">
        <w:t xml:space="preserve">Voor </w:t>
      </w:r>
      <w:r w:rsidR="00CB435F">
        <w:t xml:space="preserve">zover </w:t>
      </w:r>
      <w:r w:rsidR="00A72585">
        <w:t xml:space="preserve">hun </w:t>
      </w:r>
      <w:r w:rsidR="00CB435F">
        <w:t xml:space="preserve">de namen bekend zijn, </w:t>
      </w:r>
      <w:r w:rsidR="00A72585">
        <w:t xml:space="preserve">zijn zij </w:t>
      </w:r>
      <w:r w:rsidR="00CB435F">
        <w:t>opgenomen in de database omdat ze, ondanks de benaming, in feite verkapte ordinaris-gedeputeerden waren, voorzien van een zittingstermijn.</w:t>
      </w:r>
    </w:p>
    <w:p w:rsidR="003F3E94" w:rsidRDefault="003F3E94">
      <w:pPr>
        <w:rPr>
          <w:b/>
        </w:rPr>
      </w:pPr>
    </w:p>
    <w:p w:rsidR="00CF612B" w:rsidRDefault="00CF612B">
      <w:pPr>
        <w:rPr>
          <w:b/>
        </w:rPr>
      </w:pPr>
      <w:r>
        <w:rPr>
          <w:b/>
        </w:rPr>
        <w:t>Zetelverdeling tussen basiscolleges</w:t>
      </w:r>
    </w:p>
    <w:p w:rsidR="00346EBD" w:rsidRDefault="00346EBD" w:rsidP="00346EBD">
      <w:r>
        <w:t>1593–1596, 2 zetels als volgt verdeeld:</w:t>
      </w:r>
    </w:p>
    <w:p w:rsidR="00346EBD" w:rsidRDefault="00346EBD" w:rsidP="00346EBD">
      <w:pPr>
        <w:numPr>
          <w:ilvl w:val="0"/>
          <w:numId w:val="2"/>
        </w:numPr>
      </w:pPr>
      <w:r>
        <w:t>1 zetel voor de ridderschap;</w:t>
      </w:r>
    </w:p>
    <w:p w:rsidR="00346EBD" w:rsidRDefault="00346EBD" w:rsidP="00346EBD">
      <w:pPr>
        <w:numPr>
          <w:ilvl w:val="0"/>
          <w:numId w:val="2"/>
        </w:numPr>
      </w:pPr>
      <w:r>
        <w:t>1 zetel voor de steden</w:t>
      </w:r>
    </w:p>
    <w:p w:rsidR="00346EBD" w:rsidRDefault="00346EBD" w:rsidP="00346EBD">
      <w:r>
        <w:t>1596–</w:t>
      </w:r>
      <w:r w:rsidR="00F4320F">
        <w:t>1601</w:t>
      </w:r>
      <w:r>
        <w:t>, 4 zetels als volgt verdeeld:</w:t>
      </w:r>
    </w:p>
    <w:p w:rsidR="00346EBD" w:rsidRDefault="00346EBD" w:rsidP="00346EBD">
      <w:pPr>
        <w:numPr>
          <w:ilvl w:val="0"/>
          <w:numId w:val="2"/>
        </w:numPr>
      </w:pPr>
      <w:r>
        <w:t>1 zetel voor de ridderschap;</w:t>
      </w:r>
    </w:p>
    <w:p w:rsidR="00346EBD" w:rsidRDefault="00346EBD" w:rsidP="00346EBD">
      <w:pPr>
        <w:numPr>
          <w:ilvl w:val="0"/>
          <w:numId w:val="2"/>
        </w:numPr>
      </w:pPr>
      <w:r>
        <w:t>3 zetels voor de steden.</w:t>
      </w:r>
    </w:p>
    <w:p w:rsidR="00346EBD" w:rsidRDefault="00F4320F" w:rsidP="00346EBD">
      <w:r>
        <w:t>1601</w:t>
      </w:r>
      <w:r w:rsidR="00346EBD">
        <w:t>–1795, 6 zetels als volgt verdeeld:</w:t>
      </w:r>
    </w:p>
    <w:p w:rsidR="003F3E94" w:rsidRDefault="003F3E94" w:rsidP="003F3E94">
      <w:pPr>
        <w:numPr>
          <w:ilvl w:val="0"/>
          <w:numId w:val="2"/>
        </w:numPr>
      </w:pPr>
      <w:r>
        <w:t>3 zetels voor de ridderschap</w:t>
      </w:r>
      <w:r w:rsidR="00D60347">
        <w:t>;</w:t>
      </w:r>
    </w:p>
    <w:p w:rsidR="00CF612B" w:rsidRDefault="003F3E94" w:rsidP="003F3E94">
      <w:pPr>
        <w:numPr>
          <w:ilvl w:val="0"/>
          <w:numId w:val="2"/>
        </w:numPr>
      </w:pPr>
      <w:r>
        <w:t>1 zetel voor Nijmegen;</w:t>
      </w:r>
    </w:p>
    <w:p w:rsidR="003F3E94" w:rsidRDefault="003F3E94" w:rsidP="003F3E94">
      <w:pPr>
        <w:numPr>
          <w:ilvl w:val="0"/>
          <w:numId w:val="2"/>
        </w:numPr>
      </w:pPr>
      <w:r>
        <w:t>1 zetel voor Tiel;</w:t>
      </w:r>
    </w:p>
    <w:p w:rsidR="003F3E94" w:rsidRDefault="003F3E94" w:rsidP="003F3E94">
      <w:pPr>
        <w:numPr>
          <w:ilvl w:val="0"/>
          <w:numId w:val="2"/>
        </w:numPr>
      </w:pPr>
      <w:r>
        <w:t>1 zetel voor Zaltbommel.</w:t>
      </w:r>
    </w:p>
    <w:p w:rsidR="003F3E94" w:rsidRDefault="003F3E94">
      <w:pPr>
        <w:rPr>
          <w:b/>
        </w:rPr>
      </w:pPr>
    </w:p>
    <w:p w:rsidR="00CF612B" w:rsidRDefault="00CF612B">
      <w:pPr>
        <w:rPr>
          <w:b/>
        </w:rPr>
      </w:pPr>
      <w:r>
        <w:rPr>
          <w:b/>
        </w:rPr>
        <w:t>Zittingstermijn</w:t>
      </w:r>
    </w:p>
    <w:p w:rsidR="00CF612B" w:rsidRDefault="00A10B6E">
      <w:r>
        <w:t>D</w:t>
      </w:r>
      <w:r w:rsidR="004006BF">
        <w:t>rie jaar. Elk jaar moest een lid van de ridderschap en stede</w:t>
      </w:r>
      <w:r>
        <w:t>n aftreden. Door middel van loti</w:t>
      </w:r>
      <w:r w:rsidR="004006BF">
        <w:t>n</w:t>
      </w:r>
      <w:r>
        <w:t>g</w:t>
      </w:r>
      <w:r w:rsidR="004006BF">
        <w:t xml:space="preserve"> werden nieuwe kandidaten ge</w:t>
      </w:r>
      <w:r>
        <w:t>kozen</w:t>
      </w:r>
      <w:r w:rsidR="004006BF">
        <w:t xml:space="preserve">. De zittingstermijn was </w:t>
      </w:r>
      <w:r>
        <w:t>derhalve</w:t>
      </w:r>
      <w:r w:rsidR="004006BF">
        <w:t xml:space="preserve"> minimaal </w:t>
      </w:r>
      <w:r>
        <w:t>éé</w:t>
      </w:r>
      <w:r w:rsidR="004006BF">
        <w:t xml:space="preserve">n jaar, en maximaal drie jaar. </w:t>
      </w:r>
    </w:p>
    <w:p w:rsidR="003F3E94" w:rsidRDefault="003F3E94">
      <w:pPr>
        <w:rPr>
          <w:b/>
        </w:rPr>
      </w:pPr>
    </w:p>
    <w:p w:rsidR="00CF612B" w:rsidRDefault="00CF612B">
      <w:pPr>
        <w:rPr>
          <w:b/>
        </w:rPr>
      </w:pPr>
      <w:r>
        <w:rPr>
          <w:b/>
        </w:rPr>
        <w:t>Benoemende instantie</w:t>
      </w:r>
    </w:p>
    <w:p w:rsidR="00CF612B" w:rsidRPr="003B0920" w:rsidRDefault="00B60E18">
      <w:r>
        <w:t xml:space="preserve">De leden uit de Ridderschap werden afwisselend benoemd door de ene keer het Rijk van Nijmegen, Neder-Betuwe en Tieler-of Bommelerwaard, en de andere keer door Over-Betuwe, Maas en Waal en Tieler- of Bommelerwaard. </w:t>
      </w:r>
      <w:r w:rsidR="00E72234">
        <w:t>In de perioden 1675-1702, 17</w:t>
      </w:r>
      <w:r w:rsidR="009107CC">
        <w:t>50</w:t>
      </w:r>
      <w:r w:rsidR="00E72234">
        <w:t xml:space="preserve">-1759 en 1766-1795 </w:t>
      </w:r>
      <w:r w:rsidR="005C70A0">
        <w:t xml:space="preserve">maakte de stadhouder </w:t>
      </w:r>
      <w:r w:rsidR="00CA6C1C">
        <w:t xml:space="preserve">(gouvernante 1751-1759) </w:t>
      </w:r>
      <w:r w:rsidR="005C70A0">
        <w:t xml:space="preserve">een keuze uit </w:t>
      </w:r>
      <w:r w:rsidR="00E72234">
        <w:t>voordracht</w:t>
      </w:r>
      <w:r w:rsidR="005C70A0">
        <w:t xml:space="preserve">en. </w:t>
      </w:r>
    </w:p>
    <w:p w:rsidR="003F3E94" w:rsidRDefault="003F3E94">
      <w:pPr>
        <w:rPr>
          <w:b/>
        </w:rPr>
      </w:pPr>
    </w:p>
    <w:p w:rsidR="00CF612B" w:rsidRDefault="00CF612B">
      <w:pPr>
        <w:rPr>
          <w:b/>
        </w:rPr>
      </w:pPr>
      <w:r>
        <w:rPr>
          <w:b/>
        </w:rPr>
        <w:t>Aanvangs- en einddatum in het Repertorium</w:t>
      </w:r>
    </w:p>
    <w:p w:rsidR="001B0606" w:rsidRDefault="001B0606" w:rsidP="001B0606">
      <w:r w:rsidRPr="004A6FEF">
        <w:rPr>
          <w:i/>
        </w:rPr>
        <w:t>Aanvangsdatum</w:t>
      </w:r>
      <w:r>
        <w:t>: in de meeste gevallen s</w:t>
      </w:r>
      <w:r w:rsidRPr="00094E43">
        <w:t>essiename.</w:t>
      </w:r>
      <w:r>
        <w:t xml:space="preserve"> In </w:t>
      </w:r>
      <w:r w:rsidR="004A6FEF">
        <w:t xml:space="preserve">(bijna) </w:t>
      </w:r>
      <w:r>
        <w:t xml:space="preserve">alle gevallen wordt bij ‘bijzonderheden’ vermeld welke datum gebruikt is. </w:t>
      </w:r>
    </w:p>
    <w:p w:rsidR="00013CD8" w:rsidRDefault="001B0606" w:rsidP="001B0606">
      <w:r w:rsidRPr="004A6FEF">
        <w:rPr>
          <w:i/>
        </w:rPr>
        <w:lastRenderedPageBreak/>
        <w:t>Einddatum</w:t>
      </w:r>
      <w:r>
        <w:t>: in principe aansluitend bij de opvolger, tenzij duidelijk is dat de termijn eerder eindigde, bijvoorbeeld door overlijden. Soms is niet duidelijk wie de opvolger was. In die gevallen is doorgaans uitgegaan van de vooraf</w:t>
      </w:r>
      <w:r w:rsidR="00FE4706">
        <w:t xml:space="preserve"> vast</w:t>
      </w:r>
      <w:r>
        <w:t>gestelde zittingstermijn</w:t>
      </w:r>
      <w:r w:rsidR="00FE4706">
        <w:t>,</w:t>
      </w:r>
      <w:r>
        <w:t xml:space="preserve"> indien bekend. </w:t>
      </w:r>
      <w:r w:rsidR="00013CD8">
        <w:t>Anders is de einddatum opengelaten. Gedetailleerd onderzoek op basis van de presentielijsten zou hierin meer duidelijkheid kunnen brengen, maar voerde voor de samenstelling van deze database te ver.</w:t>
      </w:r>
    </w:p>
    <w:p w:rsidR="00013CD8" w:rsidRDefault="00013CD8" w:rsidP="001B0606"/>
    <w:p w:rsidR="001B0606" w:rsidRPr="00094E43" w:rsidRDefault="001B0606" w:rsidP="001B0606">
      <w:r>
        <w:t>Tot 1 juli 1700 werd de Juliaanse kalender (‘Oude Stijl’) gehanteerd, die toen 11 dagen achterliep op de Juliaanse kalender.</w:t>
      </w:r>
    </w:p>
    <w:p w:rsidR="003F3E94" w:rsidRDefault="003F3E94">
      <w:pPr>
        <w:rPr>
          <w:b/>
        </w:rPr>
      </w:pPr>
    </w:p>
    <w:p w:rsidR="008434C7" w:rsidRPr="008434C7" w:rsidRDefault="008434C7" w:rsidP="008434C7">
      <w:pPr>
        <w:rPr>
          <w:b/>
        </w:rPr>
      </w:pPr>
      <w:r w:rsidRPr="008434C7">
        <w:rPr>
          <w:b/>
        </w:rPr>
        <w:t>Ministers in dienst van het college, opgenomen in de database</w:t>
      </w:r>
    </w:p>
    <w:p w:rsidR="00E72234" w:rsidRDefault="008434C7" w:rsidP="00E72234">
      <w:r>
        <w:t xml:space="preserve">secretaris (slechts </w:t>
      </w:r>
      <w:r w:rsidR="00E72234">
        <w:t xml:space="preserve">één </w:t>
      </w:r>
      <w:r>
        <w:t>naam bekend).</w:t>
      </w:r>
    </w:p>
    <w:p w:rsidR="003F3E94" w:rsidRDefault="003F3E94">
      <w:pPr>
        <w:rPr>
          <w:b/>
        </w:rPr>
      </w:pPr>
    </w:p>
    <w:p w:rsidR="00CF612B" w:rsidRDefault="00CF612B">
      <w:pPr>
        <w:rPr>
          <w:b/>
        </w:rPr>
      </w:pPr>
      <w:r>
        <w:rPr>
          <w:b/>
        </w:rPr>
        <w:t>Naamlijsten en bronnen</w:t>
      </w:r>
    </w:p>
    <w:p w:rsidR="00CF612B" w:rsidRDefault="00D16E7C">
      <w:r>
        <w:t>-</w:t>
      </w:r>
      <w:r w:rsidRPr="00C8561A">
        <w:rPr>
          <w:u w:val="single"/>
        </w:rPr>
        <w:t xml:space="preserve">Gedeputeerden </w:t>
      </w:r>
      <w:r w:rsidR="00CF5A7D">
        <w:rPr>
          <w:u w:val="single"/>
        </w:rPr>
        <w:t xml:space="preserve">en extraordinaris-gedeputeerden </w:t>
      </w:r>
      <w:r w:rsidRPr="00C8561A">
        <w:rPr>
          <w:u w:val="single"/>
        </w:rPr>
        <w:t>160</w:t>
      </w:r>
      <w:r>
        <w:rPr>
          <w:u w:val="single"/>
        </w:rPr>
        <w:t>5</w:t>
      </w:r>
      <w:r w:rsidRPr="00C8561A">
        <w:rPr>
          <w:u w:val="single"/>
        </w:rPr>
        <w:t>-17</w:t>
      </w:r>
      <w:r>
        <w:rPr>
          <w:u w:val="single"/>
        </w:rPr>
        <w:t>42</w:t>
      </w:r>
      <w:r>
        <w:t xml:space="preserve">: Gelders Archief 0003, </w:t>
      </w:r>
      <w:r w:rsidR="0026683A">
        <w:t>Archief van de Staten van het Kwartier van Nijmegen en hun gedeputeerden, register van resoluties van de Gedeputeerde Staten van het Kwartier van Nijmegen en opvolgende colleges, 1597-1</w:t>
      </w:r>
      <w:r>
        <w:t>742</w:t>
      </w:r>
      <w:r w:rsidR="0026683A">
        <w:t>, inv. nr. 147-2</w:t>
      </w:r>
      <w:r>
        <w:t>29</w:t>
      </w:r>
      <w:r w:rsidR="0026683A">
        <w:t>.</w:t>
      </w:r>
    </w:p>
    <w:p w:rsidR="00D16E7C" w:rsidRDefault="00D16E7C"/>
    <w:p w:rsidR="00CB435F" w:rsidRDefault="00CB435F" w:rsidP="00CB435F">
      <w:pPr>
        <w:ind w:left="709" w:hanging="709"/>
        <w:rPr>
          <w:b/>
        </w:rPr>
      </w:pPr>
      <w:r>
        <w:rPr>
          <w:b/>
        </w:rPr>
        <w:t>Hiaten in de bemanningsgegevens</w:t>
      </w:r>
    </w:p>
    <w:p w:rsidR="00A72585" w:rsidRDefault="00A72585">
      <w:r>
        <w:t>Namen van gedeputeerden voor 1605 zijn niet bekend.</w:t>
      </w:r>
    </w:p>
    <w:p w:rsidR="00B60E18" w:rsidRDefault="00D16E7C">
      <w:pPr>
        <w:rPr>
          <w:b/>
        </w:rPr>
      </w:pPr>
      <w:r>
        <w:t>Om onbekende redenen worden de sessienames van nieuwe gedeputeerden na 1742 niet meer vermeld in de resoluties van het college. D</w:t>
      </w:r>
      <w:r w:rsidR="001F7275">
        <w:t xml:space="preserve">eze conclusie </w:t>
      </w:r>
      <w:r>
        <w:t xml:space="preserve">is gebaseerd op het integraal doornemen van de resoluties tussen 1743 en 1750, de registers </w:t>
      </w:r>
      <w:r w:rsidR="001F7275">
        <w:t xml:space="preserve">op de resoluties </w:t>
      </w:r>
      <w:r>
        <w:t xml:space="preserve">na </w:t>
      </w:r>
      <w:r w:rsidR="001F7275">
        <w:t>1750</w:t>
      </w:r>
      <w:r>
        <w:t xml:space="preserve">, </w:t>
      </w:r>
      <w:r w:rsidR="001F7275">
        <w:t xml:space="preserve">en </w:t>
      </w:r>
      <w:r>
        <w:t>het integraal doornemen van de resoluties in enkele peiljaren na 1750. Reconstructie op basis van de presentielijsten is mogelijk, maar te arbeidsintensief voor de samenstelling van het Repertorium. Mogelijk kunnen ook de resoluties van de Ridderschap en de stadsbesturen dit hiaat opvullen; steekproeven in de resoluties van de Ridderschap en het stadsbestuur van Nijmegen brachten echter geen benoemingen aan het licht.</w:t>
      </w:r>
      <w:r w:rsidR="00CB435F">
        <w:t xml:space="preserve"> </w:t>
      </w:r>
      <w:r w:rsidR="00B60E18">
        <w:t>Ook de namen van de extraordinaris gedeputeerden zijn lang niet volledig.</w:t>
      </w:r>
    </w:p>
    <w:p w:rsidR="003F3E94" w:rsidRDefault="003F3E94">
      <w:pPr>
        <w:rPr>
          <w:b/>
        </w:rPr>
      </w:pPr>
    </w:p>
    <w:p w:rsidR="00CF612B" w:rsidRDefault="00CF612B">
      <w:pPr>
        <w:rPr>
          <w:b/>
        </w:rPr>
      </w:pPr>
      <w:r>
        <w:rPr>
          <w:b/>
        </w:rPr>
        <w:t>Literatuur</w:t>
      </w:r>
    </w:p>
    <w:p w:rsidR="00346EBD" w:rsidRDefault="00346EBD" w:rsidP="00346EBD">
      <w:pPr>
        <w:ind w:left="142" w:hanging="142"/>
      </w:pPr>
      <w:r>
        <w:t xml:space="preserve">Driessen, H.L., ‘Instructie van gedeputeerde staten van het kwartier van Nymegen’ in: </w:t>
      </w:r>
      <w:r>
        <w:rPr>
          <w:i/>
        </w:rPr>
        <w:t xml:space="preserve">Gelre, vereeniging tot beoefening van Geldersche geschiedenis, oudheidkunde en recht. Bijdragen en Mededelingen </w:t>
      </w:r>
      <w:r w:rsidR="005F4752">
        <w:t>49 (1949) 311 – 318.</w:t>
      </w:r>
    </w:p>
    <w:p w:rsidR="005F4752" w:rsidRDefault="005F4752" w:rsidP="00346EBD">
      <w:pPr>
        <w:ind w:left="142" w:hanging="142"/>
      </w:pPr>
    </w:p>
    <w:p w:rsidR="003B0920" w:rsidRDefault="003B0920" w:rsidP="00346EBD">
      <w:pPr>
        <w:ind w:left="142" w:hanging="142"/>
      </w:pPr>
      <w:r w:rsidRPr="00335062">
        <w:t>Fockema Andrea</w:t>
      </w:r>
      <w:r w:rsidR="00FE3F63">
        <w:t>e</w:t>
      </w:r>
      <w:r w:rsidRPr="00335062">
        <w:t xml:space="preserve">, </w:t>
      </w:r>
      <w:r>
        <w:t xml:space="preserve">S.J., </w:t>
      </w:r>
      <w:r w:rsidRPr="00335062">
        <w:rPr>
          <w:i/>
        </w:rPr>
        <w:t>De Nederlandse Staat onder de Republiek</w:t>
      </w:r>
      <w:r>
        <w:rPr>
          <w:i/>
        </w:rPr>
        <w:t xml:space="preserve">, verhandelingen der Koninklijke Nederlandse Akademie van Wetenschappen, afd. Letterkunde </w:t>
      </w:r>
      <w:r>
        <w:t xml:space="preserve">(Amsterdam 1975) </w:t>
      </w:r>
      <w:r w:rsidR="009107CC">
        <w:t>40</w:t>
      </w:r>
      <w:r w:rsidR="005F4752">
        <w:t>.</w:t>
      </w:r>
    </w:p>
    <w:p w:rsidR="005F4752" w:rsidRDefault="005F4752" w:rsidP="00346EBD">
      <w:pPr>
        <w:ind w:left="142" w:hanging="142"/>
      </w:pPr>
    </w:p>
    <w:p w:rsidR="003B0920" w:rsidRDefault="003B0920" w:rsidP="00346EBD">
      <w:pPr>
        <w:ind w:left="142" w:hanging="142"/>
      </w:pPr>
      <w:r w:rsidRPr="00335062">
        <w:t>Gabri</w:t>
      </w:r>
      <w:r>
        <w:t xml:space="preserve">ëls, A.J.C.M., </w:t>
      </w:r>
      <w:r>
        <w:rPr>
          <w:i/>
        </w:rPr>
        <w:t>De heren als dienaren en de dienaar als heer. Het stadhouderlijke stelsel in de tweede helft van de achttiende eeuw</w:t>
      </w:r>
      <w:r w:rsidR="00544C0B">
        <w:t xml:space="preserve"> (Leiden 1990) </w:t>
      </w:r>
      <w:r w:rsidR="009107CC">
        <w:t>24</w:t>
      </w:r>
      <w:r w:rsidR="00544C0B">
        <w:t xml:space="preserve"> – </w:t>
      </w:r>
      <w:r w:rsidR="009107CC">
        <w:t>27</w:t>
      </w:r>
      <w:r w:rsidR="005F4752">
        <w:t>, 233.</w:t>
      </w:r>
    </w:p>
    <w:p w:rsidR="005F4752" w:rsidRDefault="005F4752" w:rsidP="00346EBD">
      <w:pPr>
        <w:ind w:left="142" w:hanging="142"/>
      </w:pPr>
    </w:p>
    <w:p w:rsidR="00CF5A7D" w:rsidRPr="00371035" w:rsidRDefault="00CF5A7D" w:rsidP="00CF5A7D">
      <w:r>
        <w:rPr>
          <w:i/>
        </w:rPr>
        <w:t>Hedendaagsche historie, of t</w:t>
      </w:r>
      <w:r w:rsidRPr="00371035">
        <w:rPr>
          <w:i/>
        </w:rPr>
        <w:t xml:space="preserve">egenwoordige </w:t>
      </w:r>
      <w:r>
        <w:rPr>
          <w:i/>
        </w:rPr>
        <w:t>s</w:t>
      </w:r>
      <w:r w:rsidRPr="00371035">
        <w:rPr>
          <w:i/>
        </w:rPr>
        <w:t>taat</w:t>
      </w:r>
      <w:r>
        <w:t xml:space="preserve"> </w:t>
      </w:r>
      <w:r w:rsidRPr="00D74B82">
        <w:rPr>
          <w:i/>
        </w:rPr>
        <w:t>van alle volkeren</w:t>
      </w:r>
      <w:r>
        <w:t xml:space="preserve"> XIII (Amsterdam 1741) 1</w:t>
      </w:r>
      <w:r>
        <w:t>97-198</w:t>
      </w:r>
      <w:bookmarkStart w:id="0" w:name="_GoBack"/>
      <w:bookmarkEnd w:id="0"/>
      <w:r>
        <w:t>.</w:t>
      </w:r>
    </w:p>
    <w:p w:rsidR="00CF5A7D" w:rsidRDefault="00CF5A7D" w:rsidP="00993FF4"/>
    <w:p w:rsidR="00993FF4" w:rsidRDefault="00993FF4" w:rsidP="00993FF4">
      <w:r>
        <w:t xml:space="preserve">Jong, J.A.B.M. de, </w:t>
      </w:r>
      <w:r>
        <w:rPr>
          <w:i/>
        </w:rPr>
        <w:t>Holland in vroeger tijd. Deel VI Gelderland</w:t>
      </w:r>
      <w:r w:rsidR="008D4A9C">
        <w:t xml:space="preserve"> (Zaltbommel 1964) 113 –</w:t>
      </w:r>
      <w:r w:rsidR="005F4752">
        <w:t xml:space="preserve"> 145.</w:t>
      </w:r>
    </w:p>
    <w:p w:rsidR="005F4752" w:rsidRDefault="005F4752" w:rsidP="00993FF4"/>
    <w:p w:rsidR="00A72585" w:rsidRDefault="00A72585" w:rsidP="00A72585">
      <w:r>
        <w:t>onbekend, inleiding inventaris Gelders Archief (0003) Staten van het kwartier van Nijmegen en hun Gedeputeerden.</w:t>
      </w:r>
    </w:p>
    <w:p w:rsidR="00A72585" w:rsidRDefault="00A72585" w:rsidP="00993FF4"/>
    <w:p w:rsidR="008D4A9C" w:rsidRPr="00346EBD" w:rsidRDefault="00A72585" w:rsidP="008D4A9C">
      <w:pPr>
        <w:ind w:left="142" w:hanging="142"/>
      </w:pPr>
      <w:r>
        <w:t>o</w:t>
      </w:r>
      <w:r w:rsidR="008D4A9C">
        <w:t xml:space="preserve">nbekend, ‘Overzicht van de verschillende besturen in Gelderland tusschen 1795 en 1813’, in: </w:t>
      </w:r>
      <w:r w:rsidR="008D4A9C">
        <w:rPr>
          <w:i/>
        </w:rPr>
        <w:t>Gelre, vereeniging tot beoefening van Geldersche geschiedenis, oudheidkunde en recht. Bijdragen en Mededelingen</w:t>
      </w:r>
      <w:r w:rsidR="005F4752">
        <w:t xml:space="preserve"> 3 (1900) 215 – 236.</w:t>
      </w:r>
    </w:p>
    <w:p w:rsidR="008D4A9C" w:rsidRPr="008D4A9C" w:rsidRDefault="008D4A9C" w:rsidP="00993FF4"/>
    <w:p w:rsidR="00993FF4" w:rsidRDefault="00993FF4" w:rsidP="00993FF4">
      <w:pPr>
        <w:ind w:left="142" w:hanging="142"/>
      </w:pPr>
    </w:p>
    <w:p w:rsidR="00346EBD" w:rsidRDefault="00346EBD" w:rsidP="00346EBD">
      <w:pPr>
        <w:ind w:left="142" w:hanging="142"/>
      </w:pPr>
    </w:p>
    <w:sectPr w:rsidR="00346EBD">
      <w:pgSz w:w="11907" w:h="16840" w:code="9"/>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01FD" w:rsidRDefault="005E01FD">
      <w:r>
        <w:separator/>
      </w:r>
    </w:p>
  </w:endnote>
  <w:endnote w:type="continuationSeparator" w:id="0">
    <w:p w:rsidR="005E01FD" w:rsidRDefault="005E0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01FD" w:rsidRDefault="005E01FD">
      <w:r>
        <w:separator/>
      </w:r>
    </w:p>
  </w:footnote>
  <w:footnote w:type="continuationSeparator" w:id="0">
    <w:p w:rsidR="005E01FD" w:rsidRDefault="005E01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E83D26"/>
    <w:multiLevelType w:val="singleLevel"/>
    <w:tmpl w:val="31388836"/>
    <w:lvl w:ilvl="0">
      <w:start w:val="9"/>
      <w:numFmt w:val="decimal"/>
      <w:lvlText w:val="%1."/>
      <w:lvlJc w:val="left"/>
      <w:pPr>
        <w:tabs>
          <w:tab w:val="num" w:pos="708"/>
        </w:tabs>
        <w:ind w:left="708" w:hanging="708"/>
      </w:pPr>
      <w:rPr>
        <w:rFonts w:hint="default"/>
      </w:rPr>
    </w:lvl>
  </w:abstractNum>
  <w:abstractNum w:abstractNumId="1" w15:restartNumberingAfterBreak="0">
    <w:nsid w:val="7A7E18C7"/>
    <w:multiLevelType w:val="hybridMultilevel"/>
    <w:tmpl w:val="2C76269C"/>
    <w:lvl w:ilvl="0" w:tplc="E2B0253E">
      <w:start w:val="6"/>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9A9"/>
    <w:rsid w:val="000059D1"/>
    <w:rsid w:val="00013CD8"/>
    <w:rsid w:val="00045199"/>
    <w:rsid w:val="00056980"/>
    <w:rsid w:val="00094E43"/>
    <w:rsid w:val="001B0606"/>
    <w:rsid w:val="001F7275"/>
    <w:rsid w:val="002119A9"/>
    <w:rsid w:val="00222279"/>
    <w:rsid w:val="00250FD5"/>
    <w:rsid w:val="0026683A"/>
    <w:rsid w:val="002959B6"/>
    <w:rsid w:val="002F6E15"/>
    <w:rsid w:val="00336180"/>
    <w:rsid w:val="003459BF"/>
    <w:rsid w:val="00346EBD"/>
    <w:rsid w:val="003752E1"/>
    <w:rsid w:val="003777F3"/>
    <w:rsid w:val="003B0920"/>
    <w:rsid w:val="003B3F58"/>
    <w:rsid w:val="003F3E94"/>
    <w:rsid w:val="004006BF"/>
    <w:rsid w:val="004A6FEF"/>
    <w:rsid w:val="004A7E53"/>
    <w:rsid w:val="004E3DCC"/>
    <w:rsid w:val="004E7A08"/>
    <w:rsid w:val="00512927"/>
    <w:rsid w:val="00544C0B"/>
    <w:rsid w:val="005C5923"/>
    <w:rsid w:val="005C6E92"/>
    <w:rsid w:val="005C70A0"/>
    <w:rsid w:val="005E01FD"/>
    <w:rsid w:val="005F4752"/>
    <w:rsid w:val="00612F34"/>
    <w:rsid w:val="00676EBD"/>
    <w:rsid w:val="006E60C5"/>
    <w:rsid w:val="007903D3"/>
    <w:rsid w:val="007C26FD"/>
    <w:rsid w:val="00825F8F"/>
    <w:rsid w:val="008434C7"/>
    <w:rsid w:val="008574A7"/>
    <w:rsid w:val="00894CB0"/>
    <w:rsid w:val="00897D36"/>
    <w:rsid w:val="008D4A9C"/>
    <w:rsid w:val="009021E5"/>
    <w:rsid w:val="00907AED"/>
    <w:rsid w:val="009107CC"/>
    <w:rsid w:val="00915E06"/>
    <w:rsid w:val="00937F65"/>
    <w:rsid w:val="00993FF4"/>
    <w:rsid w:val="009A6194"/>
    <w:rsid w:val="009C2571"/>
    <w:rsid w:val="00A10B6E"/>
    <w:rsid w:val="00A42C22"/>
    <w:rsid w:val="00A72585"/>
    <w:rsid w:val="00A87B31"/>
    <w:rsid w:val="00AC50E0"/>
    <w:rsid w:val="00B07F85"/>
    <w:rsid w:val="00B60E18"/>
    <w:rsid w:val="00BF0C35"/>
    <w:rsid w:val="00C02EBD"/>
    <w:rsid w:val="00C037AB"/>
    <w:rsid w:val="00C14598"/>
    <w:rsid w:val="00C64680"/>
    <w:rsid w:val="00CA6C1C"/>
    <w:rsid w:val="00CB0EE8"/>
    <w:rsid w:val="00CB435F"/>
    <w:rsid w:val="00CC5DBF"/>
    <w:rsid w:val="00CF5A7D"/>
    <w:rsid w:val="00CF612B"/>
    <w:rsid w:val="00D16E7C"/>
    <w:rsid w:val="00D60347"/>
    <w:rsid w:val="00D84B34"/>
    <w:rsid w:val="00E03410"/>
    <w:rsid w:val="00E55509"/>
    <w:rsid w:val="00E72234"/>
    <w:rsid w:val="00ED04CD"/>
    <w:rsid w:val="00F42C65"/>
    <w:rsid w:val="00F4320F"/>
    <w:rsid w:val="00F44026"/>
    <w:rsid w:val="00F44B0A"/>
    <w:rsid w:val="00F704F6"/>
    <w:rsid w:val="00FC73F3"/>
    <w:rsid w:val="00FE3F63"/>
    <w:rsid w:val="00FE470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E071F"/>
  <w15:chartTrackingRefBased/>
  <w15:docId w15:val="{AFD34156-B9B9-46D1-BD92-05A03B43B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Garamond" w:hAnsi="Garamond"/>
      <w:sz w:val="24"/>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tabs>
        <w:tab w:val="left" w:pos="-1440"/>
        <w:tab w:val="left" w:pos="-720"/>
        <w:tab w:val="left" w:pos="-142"/>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outlineLvl w:val="1"/>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08"/>
    </w:p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paragraph" w:styleId="ListParagraph">
    <w:name w:val="List Paragraph"/>
    <w:basedOn w:val="Normal"/>
    <w:uiPriority w:val="34"/>
    <w:qFormat/>
    <w:rsid w:val="008434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3</Pages>
  <Words>722</Words>
  <Characters>3971</Characters>
  <Application>Microsoft Office Word</Application>
  <DocSecurity>0</DocSecurity>
  <Lines>33</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Institutionele Toelichting Noorderkwartier</vt:lpstr>
      <vt:lpstr>Institutionele Toelichting Noorderkwartier</vt:lpstr>
    </vt:vector>
  </TitlesOfParts>
  <Company>ING</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 Noorderkwartier</dc:title>
  <dc:subject/>
  <dc:creator>petra dreiskämper</dc:creator>
  <cp:keywords/>
  <cp:lastModifiedBy>Ronald Sluijter</cp:lastModifiedBy>
  <cp:revision>20</cp:revision>
  <dcterms:created xsi:type="dcterms:W3CDTF">2022-11-22T12:43:00Z</dcterms:created>
  <dcterms:modified xsi:type="dcterms:W3CDTF">2024-01-25T13:19:00Z</dcterms:modified>
</cp:coreProperties>
</file>