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Costuras Lucía — Architecture</w:t>
      </w:r>
    </w:p>
    <w:p>
      <w:pPr>
        <w:pStyle w:val="Heading1"/>
      </w:pPr>
      <w:r>
        <w:t>3. Database design</w:t>
      </w:r>
    </w:p>
    <w:p>
      <w:pPr>
        <w:pStyle w:val="Heading2"/>
      </w:pPr>
      <w:r>
        <w:t>3.4.3 Currency model — denormalized but constrained</w:t>
      </w:r>
    </w:p>
    <w:p>
      <w:r>
        <w:t>Each Order carries a single currency code; line items inherit it. We deliberately do not store an FX rate or convert between currencies — the shop's actual workflow is currency-locked per transaction, and storing fake FX would create false precision. The OrderItemMaterial.clean() validator prevents currency-mixing across the materials catalog and the order, which is the only place a mismatch could silently occur. Reports that aggregate revenue do so per-currency; the dashboard never sums across currencies.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