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orsiva" w:cs="Corsiva" w:eastAsia="Corsiva" w:hAnsi="Corsiva"/>
          <w:sz w:val="36"/>
          <w:szCs w:val="36"/>
        </w:rPr>
      </w:pPr>
      <w:r w:rsidDel="00000000" w:rsidR="00000000" w:rsidRPr="00000000">
        <w:rPr>
          <w:rFonts w:ascii="Corsiva" w:cs="Corsiva" w:eastAsia="Corsiva" w:hAnsi="Corsiva"/>
          <w:sz w:val="36"/>
          <w:szCs w:val="36"/>
          <w:rtl w:val="0"/>
        </w:rPr>
        <w:t xml:space="preserve">“Rule No.1: Never lose money. Rule No.2: Never forget rule No.1.”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orsiva" w:cs="Corsiva" w:eastAsia="Corsiva" w:hAnsi="Corsiva"/>
          <w:i w:val="1"/>
          <w:sz w:val="36"/>
          <w:szCs w:val="36"/>
        </w:rPr>
      </w:pPr>
      <w:r w:rsidDel="00000000" w:rsidR="00000000" w:rsidRPr="00000000">
        <w:rPr>
          <w:rFonts w:ascii="Corsiva" w:cs="Corsiva" w:eastAsia="Corsiva" w:hAnsi="Corsiva"/>
          <w:i w:val="1"/>
          <w:sz w:val="36"/>
          <w:szCs w:val="36"/>
          <w:rtl w:val="0"/>
        </w:rPr>
        <w:t xml:space="preserve">Warren Buffet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drawing>
          <wp:inline distB="114300" distT="114300" distL="114300" distR="114300">
            <wp:extent cx="2546513" cy="3718221"/>
            <wp:effectExtent b="0" l="0" r="0" t="0"/>
            <wp:docPr descr="https://ufrj.br/img/minerva/007minerva_fundo_preto_e_transparente_vert.png" id="3" name="image6.png"/>
            <a:graphic>
              <a:graphicData uri="http://schemas.openxmlformats.org/drawingml/2006/picture">
                <pic:pic>
                  <pic:nvPicPr>
                    <pic:cNvPr descr="https://ufrj.br/img/minerva/007minerva_fundo_preto_e_transparente_vert.png"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6513" cy="3718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entury Schoolbook" w:cs="Century Schoolbook" w:eastAsia="Century Schoolbook" w:hAnsi="Century Schoolbook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6"/>
          <w:szCs w:val="36"/>
          <w:rtl w:val="0"/>
        </w:rPr>
        <w:t xml:space="preserve">Relatório Final do Trabalho de Big Data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entury Schoolbook" w:cs="Century Schoolbook" w:eastAsia="Century Schoolbook" w:hAnsi="Century Schoolbook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6"/>
          <w:szCs w:val="36"/>
          <w:rtl w:val="0"/>
        </w:rPr>
        <w:t xml:space="preserve"> Análise de Risco de ativos usando backtesting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Membros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Leonardo Almeida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Matheus Hoffmann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Rafael Mitre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Overview do Sistema de Análise de Risco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drawing>
          <wp:inline distB="114300" distT="114300" distL="114300" distR="114300">
            <wp:extent cx="6479230" cy="4864100"/>
            <wp:effectExtent b="0" l="0" r="0" t="0"/>
            <wp:docPr descr="Overview (1).jpg" id="1" name="image3.jpg"/>
            <a:graphic>
              <a:graphicData uri="http://schemas.openxmlformats.org/drawingml/2006/picture">
                <pic:pic>
                  <pic:nvPicPr>
                    <pic:cNvPr descr="Overview (1)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Fluxo de Informações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1- Usuário escolhe o período sob análise: Data de fim e range de dias. Essas informações são os argumentos de entrada do script em R.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2 - Código em R faz a requisição para API da Yahoo Finance das séries históricas de interesse.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3 - Uma tabela, em formato CSV, é gerada com os dados de interesse, maior/menor preço da cotação e preço de início e fim.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4 - É enviada uma submissão ao spark para rodar no nó mestre a aplicação em Scala, que contém os algoritmos de análise e receberá como argumento o arquivo gerado pelo código em R.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5 - O resultado da operação é lido via JavaScript e a Google Charts API plota os valores na interface para que o usuário veja o resultado.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Integração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 partir do momento que o usuário envia as opções da análise é disparado um script shell com todos os comandos necessários para análise.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$Rscript aquisition.R &lt;Data fim&gt; &lt;Range&gt;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$spark-submit --class "mddApp" --master local[4] 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t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arget/scala-2.11/simple-project_2.11-1.0.jar  "./../data/serieHistorica.csv"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*Lembrando que Data fim e range são os parametros escolhidos pelo 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Algoritmos de Análise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Máximo Dropdown - Diferença entre maior e menor valor de cotação durante todo o período.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ab/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def mddCalc(df: DataFrame) : Integer = {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</w:t>
        <w:tab/>
        <w:t xml:space="preserve">val princeDay_max = df.agg(max(df("High"))).first().getInt(0);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</w:t>
        <w:tab/>
        <w:t xml:space="preserve">val princeDay_min = df.agg(min(df("Low"))).first().getInt(0);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</w:t>
        <w:tab/>
        <w:t xml:space="preserve">return (princeDay_max - princeDay_min);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Desvio padrão - Variações em torno da média.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    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def desvPadraoCalc(df: DataFrame) : Double = {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</w:t>
        <w:tab/>
        <w:t xml:space="preserve">val stdDev = df.agg(stddev_samp("High")).first.getDouble(0)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ab/>
        <w:t xml:space="preserve">  </w:t>
        <w:tab/>
        <w:t xml:space="preserve">return (stdDev)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Média - Valor esperado da cotação.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ab/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def average(df: DataFrame) : Double = {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</w:t>
        <w:tab/>
        <w:t xml:space="preserve">val avg = df.select(sum("High")/count("High")).first().getDouble(0)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</w:t>
        <w:tab/>
        <w:t xml:space="preserve">return (avg)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Processamento Spark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É feito usando DataFrames, junto com as funções da biblioteca SQL. Usamos os módulos SQL dado que o objeto de análise estava em formato tabular (CSV), então seria mais conveniente realizar as consultas em um dado estruturado.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ab/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def readPriceFromCsvData(path: String) : DataFrame = {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</w:t>
        <w:tab/>
        <w:t xml:space="preserve">val spark = SparkSession.builder().master("local[*]").appName("Mdd app").getOrCreate();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</w:t>
        <w:tab/>
        <w:t xml:space="preserve">val esquema = StructType (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              </w:t>
        <w:tab/>
        <w:t xml:space="preserve">StructField("Index", IntegerType) ::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              </w:t>
        <w:tab/>
        <w:t xml:space="preserve">StructField("Open", IntegerType) ::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              </w:t>
        <w:tab/>
        <w:t xml:space="preserve">StructField("High", IntegerType) ::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              </w:t>
        <w:tab/>
        <w:t xml:space="preserve">StructField("Low", IntegerType) ::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              </w:t>
        <w:tab/>
        <w:t xml:space="preserve">StructField("Close", IntegerType) ::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              </w:t>
        <w:tab/>
        <w:t xml:space="preserve">StructField("Volume", IntegerType) ::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              </w:t>
        <w:tab/>
        <w:t xml:space="preserve">StructField("Adjusted", IntegerType) :: Nil 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ab/>
        <w:t xml:space="preserve">val df_mdd = spark.sqlContext.read.schema(esquema).format("csv").option("header", "true").option("inferSchema", "true").load(path);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ab/>
        <w:t xml:space="preserve">return (df_mdd);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Participação dos Componentes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1a parte - 18/04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Leonardo: Elaboração de requisitos funcionais/não funcionais.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Rafael: Contextualização e apresentação de métricas de risco.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Matheus: Definição de ferramentas utilizadas e pesquisa de formas de análise.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2a parte - 30/05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Leonardo: Implementação do algoritmo já no contexto do spark que calcula máximo dropdown.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Rafael: Algoritmo em R que puxa os dados API da Yahoo Finance.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Matheus: Elaboração da interface com parâmetros de entrada e “Hello World” da Google Chart API e código PHP que gera formato aceito automaticamente pela API.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3a parte - 27/06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Leonardo: Melhorias na interface, comunicação back/front e implementação do node server. Suporte ao Rafael no Spark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Rafael: Implementação de novos algoritmos de métricas de risco: Média, Desvio Padrão e Retorno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Matheus: Melhorias no código em R para integrar com a interface, suporte ao Rafael no Spark e elaboração deste documento.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Melhorias futuras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Carregar dados de séries históricas pelo próprio Scala, sem necessidade do R, tornando o sistema mais simples.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Melhoria de layout da interface, mais opções de parâmetros de entrada, principalmente de ativos.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Métricas mais complexas de análise de risco: Curtose, distribuição Kernel e simulações de Monte Carlo.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Previsão de risco.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851" w:top="851" w:left="851" w:right="85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Georgia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Schoolbook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Verdana" w:cs="Verdana" w:eastAsia="Verdana" w:hAnsi="Verdana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799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left"/>
      <w:rPr>
        <w:rFonts w:ascii="Roboto" w:cs="Roboto" w:eastAsia="Roboto" w:hAnsi="Roboto"/>
        <w:b w:val="1"/>
        <w:i w:val="1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-93979</wp:posOffset>
          </wp:positionH>
          <wp:positionV relativeFrom="paragraph">
            <wp:posOffset>-721994</wp:posOffset>
          </wp:positionV>
          <wp:extent cx="424180" cy="619760"/>
          <wp:effectExtent b="0" l="0" r="0" t="0"/>
          <wp:wrapSquare wrapText="bothSides" distB="0" distT="0" distL="114300" distR="114300"/>
          <wp:docPr descr="003minerva_transparente_vertical_p" id="2" name="image4.png"/>
          <a:graphic>
            <a:graphicData uri="http://schemas.openxmlformats.org/drawingml/2006/picture">
              <pic:pic>
                <pic:nvPicPr>
                  <pic:cNvPr descr="003minerva_transparente_vertical_p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4180" cy="6197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36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pacing w:after="60" w:before="240" w:line="240" w:lineRule="auto"/>
      <w:ind w:left="576" w:right="0" w:hanging="576"/>
      <w:jc w:val="left"/>
    </w:pPr>
    <w:rPr>
      <w:rFonts w:ascii="Arial" w:cs="Arial" w:eastAsia="Arial" w:hAnsi="Arial"/>
      <w:b w:val="1"/>
      <w:i w:val="0"/>
      <w:smallCaps w:val="1"/>
      <w:strike w:val="0"/>
      <w:color w:val="000000"/>
      <w:sz w:val="22"/>
      <w:szCs w:val="2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5783"/>
      </w:tabs>
      <w:spacing w:after="0" w:before="0" w:line="360" w:lineRule="auto"/>
      <w:ind w:left="1404" w:right="0" w:hanging="864"/>
      <w:jc w:val="both"/>
    </w:pPr>
    <w:rPr>
      <w:rFonts w:ascii="Verdana" w:cs="Verdana" w:eastAsia="Verdana" w:hAnsi="Verdana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="240" w:lineRule="auto"/>
      <w:ind w:left="1008" w:right="0" w:hanging="1008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="240" w:lineRule="auto"/>
      <w:ind w:left="1152" w:right="0" w:hanging="115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33738d" w:val="clear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ffffff"/>
      <w:sz w:val="24"/>
      <w:szCs w:val="24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3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11" Type="http://schemas.openxmlformats.org/officeDocument/2006/relationships/font" Target="fonts/CenturySchoolbook-italic.ttf"/><Relationship Id="rId10" Type="http://schemas.openxmlformats.org/officeDocument/2006/relationships/font" Target="fonts/CenturySchoolbook-bold.ttf"/><Relationship Id="rId12" Type="http://schemas.openxmlformats.org/officeDocument/2006/relationships/font" Target="fonts/CenturySchoolbook-boldItalic.ttf"/><Relationship Id="rId9" Type="http://schemas.openxmlformats.org/officeDocument/2006/relationships/font" Target="fonts/CenturySchoolbook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