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siva" w:cs="Corsiva" w:eastAsia="Corsiva" w:hAnsi="Corsiva"/>
          <w:sz w:val="36"/>
          <w:szCs w:val="36"/>
        </w:rPr>
      </w:pPr>
      <w:r w:rsidDel="00000000" w:rsidR="00000000" w:rsidRPr="00000000">
        <w:rPr>
          <w:rFonts w:ascii="Corsiva" w:cs="Corsiva" w:eastAsia="Corsiva" w:hAnsi="Corsiva"/>
          <w:sz w:val="36"/>
          <w:szCs w:val="36"/>
          <w:rtl w:val="0"/>
        </w:rPr>
        <w:t xml:space="preserve">“Rule No.1: Never lose money. Rule No.2: Never forget rule No.1.”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siva" w:cs="Corsiva" w:eastAsia="Corsiva" w:hAnsi="Corsiva"/>
          <w:i w:val="1"/>
          <w:sz w:val="36"/>
          <w:szCs w:val="36"/>
        </w:rPr>
      </w:pPr>
      <w:r w:rsidDel="00000000" w:rsidR="00000000" w:rsidRPr="00000000">
        <w:rPr>
          <w:rFonts w:ascii="Corsiva" w:cs="Corsiva" w:eastAsia="Corsiva" w:hAnsi="Corsiva"/>
          <w:i w:val="1"/>
          <w:sz w:val="36"/>
          <w:szCs w:val="36"/>
          <w:rtl w:val="0"/>
        </w:rPr>
        <w:t xml:space="preserve">Warren Buffet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2546513" cy="3718221"/>
            <wp:effectExtent b="0" l="0" r="0" t="0"/>
            <wp:docPr descr="https://ufrj.br/img/minerva/007minerva_fundo_preto_e_transparente_vert.png" id="3" name="image6.png"/>
            <a:graphic>
              <a:graphicData uri="http://schemas.openxmlformats.org/drawingml/2006/picture">
                <pic:pic>
                  <pic:nvPicPr>
                    <pic:cNvPr descr="https://ufrj.br/img/minerva/007minerva_fundo_preto_e_transparente_vert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513" cy="371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Relatório Final do Trabalho de Big Data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 Análise de Risco de ativos usando backtesting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Membros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 Almeida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 Hoffmann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 Mitre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Overview do Sistema de Análise de Risco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drawing>
          <wp:inline distB="114300" distT="114300" distL="114300" distR="114300">
            <wp:extent cx="6479230" cy="4864100"/>
            <wp:effectExtent b="0" l="0" r="0" t="0"/>
            <wp:docPr descr="Overview (1).jpg" id="1" name="image3.jpg"/>
            <a:graphic>
              <a:graphicData uri="http://schemas.openxmlformats.org/drawingml/2006/picture">
                <pic:pic>
                  <pic:nvPicPr>
                    <pic:cNvPr descr="Overview (1)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Fluxo de Informações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1- Usuário escolhe o período sob análise: Data de fim e range de dias. Essas informações são os argumentos de entrada do script em 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2 - Código em R faz a requisição para API da Yahoo Finance das séries históricas de interesse.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3 - Uma tabela, em formato CSV, é gerada com os dados de interesse, maior/menor preço da cotação e preço de início e fim.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4 - É enviada uma submissão ao spark para rodar no nó mestre a aplicação em Scala, que contém os algoritmos de análise e receberá como argumento o arquivo gerado pelo código em 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5 - O resultado da operação é lido via JavaScript e a biblioteca Chart.js plota os valores na interface para que o usuário veja o resultado.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Integração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 partir do momento que o usuário envia as opções da análise é disparado um script shell com todos os comandos necessários para análise.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$Rscript aquisition.R &lt;Data fim&gt; &lt;Range&gt;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$spark-submit --class "mddApp" --master local[4]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t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arget/scala-2.11/simple-project_2.11-1.0.jar  "./../data/serieHistorica.csv"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*Lembrando que Data fim e range são os parametros escolhidos pelo 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Algoritmos de Análise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Máximo Dropdown - Diferença entre maior e menor valor de cotação durante todo o período.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mddCalc(df: DataFrame) : Integer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princeDay_max = df.agg(max(df("High"))).first().getInt(0);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princeDay_min = df.agg(min(df("Low"))).first().getInt(0);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return (princeDay_max - princeDay_min);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Desvio padrão - Variações em torno da média.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desvPadraoCalc(df: DataFrame) : Double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stdDev = df.agg(stddev_samp("High")).first.getDouble(0)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  </w:t>
        <w:tab/>
        <w:t xml:space="preserve">return (stdDev)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Média - Valor esperado da cotação.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average(df: DataFrame) : Double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avg = df.select(sum("High")/count("High")).first().getDouble(0)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return (avg)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Processamento Spark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É feito usando DataFrames, junto com as funções da biblioteca SQL. Usamos os módulos SQL dado que o objeto de análise está em formato tabular (CSV), então seria mais conveniente realizar as consultas em um dado estruturado.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def readPriceFromCsvData(path: String) : DataFrame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spark = SparkSession.builder().master("local[*]").appName("Mdd app").getOrCreate();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</w:t>
        <w:tab/>
        <w:t xml:space="preserve">val esquema = StructType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StructField("Index",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StructField("Open",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StructField("High",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StructField("Low",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StructField("Close",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StructField("Volume", IntegerType) ::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                  </w:t>
        <w:tab/>
        <w:t xml:space="preserve">StructField("Adjusted", IntegerType) :: Nil 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val df_mdd = spark.sqlContext.read.schema(esquema).format("csv").option("header", "true").option("inferSchema", "true").load(path);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right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ab/>
        <w:t xml:space="preserve">return (df_mdd);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Participação dos Componentes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1a parte - 18/04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Leonardo: Elaboração de requisitos funcionais/não funcionais.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Rafael: Contextualização e apresentação de métricas de risco.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Matheus: Definição de ferramentas utilizadas e pesquisa de formas de análise.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2a parte - 30/05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Leonardo: Implementação do algoritmo já no contexto do spark que calcula máximo dropdown.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Rafael: Algoritmo em R que puxa os dados API da Yahoo Finance.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Matheus: Elaboração da interface com parâmetros de entrada e “Hello World” da Google Chart API e código PHP que gera formato aceito automaticamente pela API.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3a parte - 27/06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Leonardo: Melhorias na interface, comunicação back/front e implementação do node server. Suporte ao Rafael no Spark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Rafael: Implementação de novos algoritmos de métricas de risco: Média, Desvio Padrão, média de retornos e coeficiente de risco.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Matheus: Melhorias no código em R para integrar com a interface, suporte ao Rafael no Spark e elaboração deste documento.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Melhorias futuras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Deixar os dados armazenados no servidor e ir atualizando regularmente e/ou carregar dados de séries históricas pelo próprio Scala, sem necessidade do R, tornando o sistema mais simples.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Melhoria do layout da interface, mais opções de parâmetros de entrada, principalmente de ativos.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Métricas mais complexas de análise de risco: Curtose, distribuição Kernel e simulações de Monte Carlo e indicativo de previsão de risco futuro.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  Hospedagem e versionamento: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  https://github.com/aracytopterm/AR_mercado_financeiro  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/app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Front end e node server.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/doc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Documentação: Tese de referência inicial, Relatório Inicial e Relatório Final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/src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/data : Algoritmos em R - v1: Estático para testar análise no Spark. v2: Integrado com front/back.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/mdd/src/main/scala : App Scala que realiza a análise das séries históricas.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/R-analysis : Códigos em R da tese de referência que não conseguiram ser rodados no SparkR.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Schoolbook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799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Roboto" w:cs="Roboto" w:eastAsia="Roboto" w:hAnsi="Roboto"/>
        <w:b w:val="1"/>
        <w:i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-93979</wp:posOffset>
          </wp:positionH>
          <wp:positionV relativeFrom="paragraph">
            <wp:posOffset>-721994</wp:posOffset>
          </wp:positionV>
          <wp:extent cx="424180" cy="619760"/>
          <wp:effectExtent b="0" l="0" r="0" t="0"/>
          <wp:wrapSquare wrapText="bothSides" distB="0" distT="0" distL="114300" distR="114300"/>
          <wp:docPr descr="003minerva_transparente_vertical_p" id="2" name="image4.png"/>
          <a:graphic>
            <a:graphicData uri="http://schemas.openxmlformats.org/drawingml/2006/picture">
              <pic:pic>
                <pic:nvPicPr>
                  <pic:cNvPr descr="003minerva_transparente_vertical_p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4180" cy="6197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36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5783"/>
      </w:tabs>
      <w:spacing w:after="0" w:before="0" w:line="360" w:lineRule="auto"/>
      <w:ind w:left="1404" w:right="0" w:hanging="864"/>
      <w:jc w:val="both"/>
    </w:pPr>
    <w:rPr>
      <w:rFonts w:ascii="Verdana" w:cs="Verdana" w:eastAsia="Verdana" w:hAnsi="Verdana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1008" w:right="0" w:hanging="1008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1152" w:right="0" w:hanging="115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33738d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4"/>
      <w:szCs w:val="24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11" Type="http://schemas.openxmlformats.org/officeDocument/2006/relationships/font" Target="fonts/CenturySchoolbook-italic.ttf"/><Relationship Id="rId10" Type="http://schemas.openxmlformats.org/officeDocument/2006/relationships/font" Target="fonts/CenturySchoolbook-bold.ttf"/><Relationship Id="rId12" Type="http://schemas.openxmlformats.org/officeDocument/2006/relationships/font" Target="fonts/CenturySchoolbook-boldItalic.ttf"/><Relationship Id="rId9" Type="http://schemas.openxmlformats.org/officeDocument/2006/relationships/font" Target="fonts/CenturySchoolbook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