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计算机网络-协议总结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数据链路层协议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可靠数据传输：滑动窗口协议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GBN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（Go Back N）协议：</w:t>
      </w:r>
    </w:p>
    <w:p>
      <w:pPr>
        <w:pStyle w:val="ListParagraph"/>
        <w:numPr>
          <w:ilvl w:val="2"/>
          <w:numId w:val="3"/>
        </w:numPr>
      </w:pPr>
      <w:r>
        <w:rPr>
          <w:color w:val="#ffaf38"/>
          <w:sz w:val="20"/>
          <w:szCs w:val="20"/>
          <w:rFonts w:ascii="Microsoft YaHei" w:cs="Microsoft YaHei" w:eastAsia="Microsoft YaHei" w:hAnsi="Microsoft YaHei"/>
        </w:rPr>
        <w:t xml:space="preserve">SR</w:t>
      </w:r>
      <w:r>
        <w:rPr>
          <w:sz w:val="20"/>
          <w:szCs w:val="20"/>
          <w:rFonts w:ascii="Microsoft YaHei" w:cs="Microsoft YaHei" w:eastAsia="Microsoft YaHei" w:hAnsi="Microsoft YaHei"/>
        </w:rPr>
        <w:t xml:space="preserve">（Selective Repeat）协议：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多路访问控制协议（MAC）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信道划分MAC协议：多路复用、CDMA、TDMA、FDMA、WDMA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随机访问MAC协议：时隙ALOHA、ALOHA、CSMA/CD、CSMA/CA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轮转MAC：轮询机制、令牌传递、比特映像介质访问控制协议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点对点数据链路控制：PPP 协议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网络层协议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IP相关协议：ARP、ICMP、DHCP、NAT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路由协议：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AS内部路由协议：RIP、OSPF、IGRP</w:t>
      </w:r>
    </w:p>
    <w:p>
      <w:pPr>
        <w:pStyle w:val="ListParagraph"/>
        <w:numPr>
          <w:ilvl w:val="2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AS间路由协议：BGP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传输层协议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UDP、TCP</w:t>
      </w:r>
    </w:p>
    <w:p>
      <w:pPr>
        <w:pStyle w:val="ListParagraph"/>
        <w:numPr>
          <w:ilvl w:val="0"/>
          <w:numId w:val="3"/>
        </w:numPr>
      </w:pPr>
      <w:r>
        <w:rPr>
          <w:sz w:val="28"/>
          <w:szCs w:val="28"/>
          <w:rFonts w:ascii="Microsoft YaHei" w:cs="Microsoft YaHei" w:eastAsia="Microsoft YaHei" w:hAnsi="Microsoft YaHei"/>
        </w:rPr>
        <w:t xml:space="preserve">应用层协议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FTP：文件传输协议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邮件协议：SMTP、POP、IMAP、HTTP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Web协议：HTTP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计算机网络-协议总结</dc:title>
  <dcterms:created xsi:type="dcterms:W3CDTF">2024-11-12T15:11:06Z</dcterms:created>
  <dcterms:modified xsi:type="dcterms:W3CDTF">2024-11-12T15:11:06Z</dcterms:modified>
</cp:coreProperties>
</file>