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Heading1"/>
      </w:pPr>
      <w:r>
        <w:rPr>
          <w:color w:val="#000000"/>
          <w:rFonts w:ascii="Microsoft YaHei" w:cs="Microsoft YaHei" w:eastAsia="Microsoft YaHei" w:hAnsi="Microsoft YaHei"/>
        </w:rPr>
        <w:t xml:space="preserve">无线局域网802.11</w:t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IEEE802.11无线局域网：按照不同频段可以做以下划分，最高速率从上至下递增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802.11b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物理层采用直接扩频序列（所有主机码片序列相同）--CDM也是这种技术，但码片序列正交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最高数据率较低，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价格最低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，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信号传播距离最远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，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不易受阻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802.11a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最高数据率较高，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价格最高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，信号传播距离较短，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易受阻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，支持更多用户同时上网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802.11g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最高数据率较高，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信号传播距离最远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，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不易受阻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，支持更多用户同时上网，比b贵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802.11n（多天线MIMO）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使用多个发射和接收天线以允许更高的数据传输率，使用双倍带宽时速率很高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均使用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CSMA/CD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多路访问控制协议，均有</w:t>
      </w:r>
      <w:r>
        <w:rPr>
          <w:b w:val="true"/>
          <w:bCs w:val="true"/>
          <w:color w:val="#ffaf38"/>
          <w:sz w:val="20"/>
          <w:szCs w:val="20"/>
          <w:rFonts w:ascii="Microsoft YaHei" w:cs="Microsoft YaHei" w:eastAsia="Microsoft YaHei" w:hAnsi="Microsoft YaHei"/>
        </w:rPr>
        <w:t xml:space="preserve">基础设施（基站）网络模式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和</w:t>
      </w:r>
      <w:r>
        <w:rPr>
          <w:b w:val="true"/>
          <w:bCs w:val="true"/>
          <w:color w:val="#ffaf38"/>
          <w:sz w:val="20"/>
          <w:szCs w:val="20"/>
          <w:rFonts w:ascii="Microsoft YaHei" w:cs="Microsoft YaHei" w:eastAsia="Microsoft YaHei" w:hAnsi="Microsoft YaHei"/>
        </w:rPr>
        <w:t xml:space="preserve">特定网（自组织）网络模式</w:t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802.11 LAN 体系结构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无线主机与基站通信：基站=访问点（AP）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基本服务集BSS，也称为单元（cell）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基础设施网络模式/基站网络模式：无线主机+AP（基站）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自组织网络模式：只有主机</w:t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802.11：信道与关联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频谱划分为不同频率的信道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每个AP选择一个频率（信道）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存在干扰可能，相邻的AP可能选择相同的信道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主机：必须与某个AP关联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扫描信道，监听包含AP名称和MAC地址的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信标帧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（AP会定期广播这种信标帧）</w:t>
      </w:r>
    </w:p>
    <w:p>
      <w:pPr>
        <w:pStyle w:val="ListParagraph"/>
        <w:numPr>
          <w:ilvl w:val="3"/>
          <w:numId w:val="3"/>
        </w:numPr>
      </w:pP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被动扫描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：AP发，主机收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AP发送信标帧，主机向选择的AP发送关联请求帧，AP收到后向主机发送关联响应帧</w:t>
      </w:r>
    </w:p>
    <w:p>
      <w:pPr>
        <w:pStyle w:val="ListParagraph"/>
        <w:numPr>
          <w:ilvl w:val="3"/>
          <w:numId w:val="3"/>
        </w:numPr>
      </w:pP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主动扫描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：主机发，AP收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主机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广播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探测请求帧，AP发送探测响应帧，主机向选择的AP发送关联请求帧，AP向主机发送关联响应帧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选择一个AP进行关联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可能需要进行身份认证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回忆一下，DHCP动态获取IP地址的过程，很类似</w:t>
      </w:r>
    </w:p>
    <w:p>
      <w:pPr>
        <w:pStyle w:val="ListParagraph"/>
        <w:numPr>
          <w:ilvl w:val="0"/>
          <w:numId w:val="3"/>
        </w:numPr>
      </w:pP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802.11 多路访问控制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CSMA：发送数据前监听信道，避免与传输中的其他结点冲突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难点：不能像CSMD/CD那样边发边听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无线信道中接收信号强度会被发射信号强度淹没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无法侦听到所有可能的冲突：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隐藏站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、信号衰落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目标：避免冲突——CSMA/CA</w:t>
      </w:r>
    </w:p>
    <w:p>
      <w:pPr>
        <w:pStyle w:val="ListParagraph"/>
        <w:numPr>
          <w:ilvl w:val="1"/>
          <w:numId w:val="3"/>
        </w:numPr>
      </w:pPr>
      <w:r>
        <w:rPr>
          <w:b w:val="true"/>
          <w:bCs w:val="true"/>
          <w:color w:val="#ffaf38"/>
          <w:sz w:val="20"/>
          <w:szCs w:val="20"/>
          <w:rFonts w:ascii="Microsoft YaHei" w:cs="Microsoft YaHei" w:eastAsia="Microsoft YaHei" w:hAnsi="Microsoft YaHei"/>
        </w:rPr>
        <w:t xml:space="preserve">CSMA/CA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 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DIFS：分布式帧间间隔；SIFS：短帧帧间间隔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冲突避免基本过程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发送方：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监听到信道空闲了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DIFS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时间，则发送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完整的帧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（不同时检测冲突）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监听到信道忙，开始随机退避倒计时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当信道空闲且DIFS时间后，计时器倒计时（-1），否则不变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计时器超时，发送完整的帧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如果没有收到ACK，增加随机退避间隔时间（信道冲突，接着等），继续倒计时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接收方：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正确接收帧，则在延迟SIFS时间后（解决隐藏站问题），向发送方发送ACK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基本思想：允许发送方</w:t>
      </w:r>
      <w:r>
        <w:rPr>
          <w:b w:val="true"/>
          <w:bCs w:val="true"/>
          <w:color w:val="#ffaf38"/>
          <w:sz w:val="20"/>
          <w:szCs w:val="20"/>
          <w:rFonts w:ascii="Microsoft YaHei" w:cs="Microsoft YaHei" w:eastAsia="Microsoft YaHei" w:hAnsi="Microsoft YaHei"/>
        </w:rPr>
        <w:t xml:space="preserve">预约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信道，而不是随机发送数据帧，从而避免长数据帧的冲突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预约过程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发送端首先向基站发送一个RTS帧（预约请求帧）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RTS也可能冲突，但帧短，处理起来容易得多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基站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广播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一个CTS帧（预约响应帧）作为对RTS的响应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使用广播，CTS可以被所有基站接收，消除隐藏站影响，让其他站推迟发送数据</w:t>
      </w:r>
    </w:p>
    <w:p>
      <w:pPr>
        <w:pStyle w:val="ListParagraph"/>
        <w:numPr>
          <w:ilvl w:val="2"/>
          <w:numId w:val="3"/>
        </w:numPr>
      </w:pP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交换数据过程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：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主机监听信道，空闲了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DIFS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后向基站发送一个RTS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基站收到RTS后，等待一个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SIFS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，向主机回复一个CTS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主机在收到基站回复的CTS后，延迟一个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SIFS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，开始向基站发送数据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基站接收数据，完毕后延迟一个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SIFS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，</w:t>
      </w:r>
      <w:r>
        <w:rPr>
          <w:b w:val="true"/>
          <w:bCs w:val="true"/>
          <w:color w:val="#ffaf38"/>
          <w:sz w:val="20"/>
          <w:szCs w:val="20"/>
          <w:rFonts w:ascii="Microsoft YaHei" w:cs="Microsoft YaHei" w:eastAsia="Microsoft YaHei" w:hAnsi="Microsoft YaHei"/>
        </w:rPr>
        <w:t xml:space="preserve">广播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一个ACK，告知所有主机，这次数据传输完成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由以上过程可知，一个主机从期望开始发送数据开始，到确认数据被基站正确接受，最快需要DIFS+3SIFS（忽略传输时延、传播时延和处理时延）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802.11 MAC帧</w:t>
      </w:r>
    </w:p>
    <w:p>
      <w:pPr>
        <w:ind w:left="350"/>
      </w:pPr>
      <w:r>
        <w:drawing>
          <wp:inline distT="0" distB="0" distL="0" distR="0">
            <wp:extent cx="3810000" cy="205709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057099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各字段的作用如上图所示，其中frame control字段还可按位划分</w:t>
      </w:r>
    </w:p>
    <w:p>
      <w:pPr>
        <w:pStyle w:val="ListParagraph"/>
        <w:numPr>
          <w:ilvl w:val="2"/>
          <w:numId w:val="3"/>
        </w:numPr>
      </w:pPr>
      <w:r>
        <w:rPr>
          <w:b w:val="true"/>
          <w:bCs w:val="true"/>
          <w:color w:val="#ffaf38"/>
          <w:sz w:val="20"/>
          <w:szCs w:val="20"/>
          <w:rFonts w:ascii="Microsoft YaHei" w:cs="Microsoft YaHei" w:eastAsia="Microsoft YaHei" w:hAnsi="Microsoft YaHei"/>
        </w:rPr>
        <w:t xml:space="preserve">802.11数据帧地址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地址1：主机或AP的MAC地址，指明帧的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接收方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地址2：主机或AP的MAC地址，指明帧的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发送方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地址3：最初源地址或最终目的地址（看在哪个阶段）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地址4：用于Ad-hoc或无线桥接</w:t>
      </w:r>
    </w:p>
    <w:p>
      <w:pPr>
        <w:ind w:left="1050"/>
      </w:pPr>
      <w:r>
        <w:drawing>
          <wp:inline distT="0" distB="0" distL="0" distR="0">
            <wp:extent cx="3810000" cy="141874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418746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/>
      </w:pPr>
      <w:r>
        <w:drawing>
          <wp:inline distT="0" distB="0" distL="0" distR="0">
            <wp:extent cx="3810000" cy="2299563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299563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/>
      </w:pPr>
      <w:r>
        <w:drawing>
          <wp:inline distT="0" distB="0" distL="0" distR="0">
            <wp:extent cx="3810000" cy="186439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864399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802.11 同一子网内的移动性：交换机看到来自H1的帧并记住哪个交换机端口可以用于到达H1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802.11 高级功能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速率适应：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移动终端移动、SNR变化时，基站、移动终端会动态改变传输速率（通过物理层调制技术）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移动终端远离基站，SNR降低，BER（比特误码率）增加，此时切换到低传输速率以降低BER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功率管理（省电）：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结点到AP：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结点会休眠到下一个信标帧，此时AP就不向结点发送数据帧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结点会在下一个信标帧之前唤醒</w:t>
      </w:r>
    </w:p>
    <w:p>
      <w:pPr>
        <w:pStyle w:val="ListParagraph"/>
        <w:numPr>
          <w:ilvl w:val="3"/>
          <w:numId w:val="3"/>
        </w:numPr>
      </w:pP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信标帧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：包含了一个移动终端列表，AP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缓存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了等待发送给这些移动终端的帧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若AP到移动终端的帧将要发送，结点保持唤醒，否则休眠直到下一个信标帧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这波给我发数据，我就醒着，否则就下一波再说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个人局域网：蓝牙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典型的自组织网络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主设备/客户端设备：主设备轮询客户端，授予客户端传输请求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寄放模式：客户端可以进入寄放状态（睡眠）并稍后唤醒（省电）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自助：节点自组装，即插即用</w:t>
      </w:r>
    </w:p>
    <w:sectPr>
      <w:pgSz w:w="11906" w:h="16838" w:orient="portrait"/>
      <w:pgMar w:top="1440" w:right="1440" w:bottom="1440" w:left="1440" w:header="708" w:footer="708" w:gutter="0" w:mirrorMargins="false"/>
      <w:cols w:space="708" w:num="1"/>
      <w:docGrid w:linePitch="360"/>
      <w:headerReference w:type="default" r:id="rId5"/>
      <w:footerReference w:type="default" r:id="rId6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lvlJc w:val="left"/>
      <w:numFmt w:val="bullet"/>
      <w:lvlText w:val="●"/>
      <w:pPr>
        <w:ind w:left="720" w:hanging="360"/>
      </w:pPr>
    </w:lvl>
    <w:lvl w:ilvl="1" w15:tentative="1">
      <w:start w:val="1"/>
      <w:lvlJc w:val="left"/>
      <w:numFmt w:val="bullet"/>
      <w:lvlText w:val="○"/>
      <w:pPr>
        <w:ind w:left="1440" w:hanging="360"/>
      </w:pPr>
    </w:lvl>
    <w:lvl w:ilvl="2" w15:tentative="1">
      <w:start w:val="1"/>
      <w:lvlJc w:val="left"/>
      <w:numFmt w:val="bullet"/>
      <w:lvlText w:val="■"/>
      <w:pPr>
        <w:ind w:left="2160" w:hanging="360"/>
      </w:pPr>
    </w:lvl>
    <w:lvl w:ilvl="3" w15:tentative="1">
      <w:start w:val="1"/>
      <w:lvlJc w:val="left"/>
      <w:numFmt w:val="bullet"/>
      <w:lvlText w:val="●"/>
      <w:pPr>
        <w:ind w:left="2880" w:hanging="360"/>
      </w:pPr>
    </w:lvl>
    <w:lvl w:ilvl="4" w15:tentative="1">
      <w:start w:val="1"/>
      <w:lvlJc w:val="left"/>
      <w:numFmt w:val="bullet"/>
      <w:lvlText w:val="○"/>
      <w:pPr>
        <w:ind w:left="3600" w:hanging="360"/>
      </w:pPr>
    </w:lvl>
    <w:lvl w:ilvl="5" w15:tentative="1">
      <w:start w:val="1"/>
      <w:lvlJc w:val="left"/>
      <w:numFmt w:val="bullet"/>
      <w:lvlText w:val="■"/>
      <w:pPr>
        <w:ind w:left="4320" w:hanging="360"/>
      </w:pPr>
    </w:lvl>
    <w:lvl w:ilvl="6" w15:tentative="1">
      <w:start w:val="1"/>
      <w:lvlJc w:val="left"/>
      <w:numFmt w:val="bullet"/>
      <w:lvlText w:val="●"/>
      <w:pPr>
        <w:ind w:left="5040" w:hanging="360"/>
      </w:pPr>
    </w:lvl>
    <w:lvl w:ilvl="7" w15:tentative="1">
      <w:start w:val="1"/>
      <w:lvlJc w:val="left"/>
      <w:numFmt w:val="bullet"/>
      <w:lvlText w:val="●"/>
      <w:pPr>
        <w:ind w:left="5760" w:hanging="360"/>
      </w:pPr>
    </w:lvl>
    <w:lvl w:ilvl="8" w15:tentative="1">
      <w:start w:val="1"/>
      <w:lvlJc w:val="left"/>
      <w:numFmt w:val="bullet"/>
      <w:lvlText w:val="●"/>
      <w:pPr>
        <w:ind w:left="6480" w:hanging="360"/>
      </w:pPr>
    </w:lvl>
  </w:abstractNum>
  <w:abstractNum w:abstractNumId="2" w15:restartNumberingAfterBreak="0">
    <w:multiLevelType w:val="hybridMultilevel"/>
    <w:lvl w:ilvl="0" w15:tentative="1">
      <w:start w:val="1"/>
      <w:lvlJc w:val="start"/>
      <w:lvlText w:val="●"/>
      <w:pPr>
        <w:ind w:left="0" w:hanging="200"/>
        <w:spacing w:before="100" w:after="100"/>
      </w:pPr>
    </w:lvl>
    <w:lvl w:ilvl="1" w15:tentative="1">
      <w:start w:val="1"/>
      <w:lvlJc w:val="start"/>
      <w:lvlText w:val="●"/>
      <w:pPr>
        <w:ind w:left="350" w:hanging="200"/>
        <w:spacing w:before="100" w:after="100"/>
      </w:pPr>
    </w:lvl>
    <w:lvl w:ilvl="2" w15:tentative="1">
      <w:start w:val="1"/>
      <w:lvlJc w:val="start"/>
      <w:lvlText w:val="●"/>
      <w:pPr>
        <w:ind w:left="700" w:hanging="200"/>
        <w:spacing w:before="100" w:after="100"/>
      </w:pPr>
    </w:lvl>
    <w:lvl w:ilvl="3" w15:tentative="1">
      <w:start w:val="1"/>
      <w:lvlJc w:val="start"/>
      <w:lvlText w:val="●"/>
      <w:pPr>
        <w:ind w:left="1050" w:hanging="200"/>
        <w:spacing w:before="100" w:after="100"/>
      </w:pPr>
    </w:lvl>
    <w:lvl w:ilvl="4" w15:tentative="1">
      <w:start w:val="1"/>
      <w:lvlJc w:val="start"/>
      <w:lvlText w:val="●"/>
      <w:pPr>
        <w:ind w:left="1400" w:hanging="200"/>
        <w:spacing w:before="100" w:after="100"/>
      </w:pPr>
    </w:lvl>
    <w:lvl w:ilvl="5" w15:tentative="1">
      <w:start w:val="1"/>
      <w:lvlJc w:val="start"/>
      <w:lvlText w:val="●"/>
      <w:pPr>
        <w:ind w:left="1750" w:hanging="200"/>
        <w:spacing w:before="100" w:after="100"/>
      </w:pPr>
    </w:lvl>
    <w:lvl w:ilvl="6" w15:tentative="1">
      <w:start w:val="1"/>
      <w:lvlJc w:val="start"/>
      <w:lvlText w:val="●"/>
      <w:pPr>
        <w:ind w:left="2100" w:hanging="200"/>
        <w:spacing w:before="100" w:after="100"/>
      </w:pPr>
    </w:lvl>
    <w:lvl w:ilvl="7" w15:tentative="1">
      <w:start w:val="1"/>
      <w:lvlJc w:val="start"/>
      <w:lvlText w:val="●"/>
      <w:pPr>
        <w:ind w:left="2450" w:hanging="200"/>
        <w:spacing w:before="100" w:after="100"/>
      </w:pPr>
    </w:lvl>
    <w:lvl w:ilvl="8" w15:tentative="1">
      <w:start w:val="1"/>
      <w:lvlJc w:val="start"/>
      <w:lvlText w:val="●"/>
      <w:pPr>
        <w:ind w:left="2800" w:hanging="200"/>
        <w:spacing w:before="100" w:after="100"/>
      </w:pPr>
    </w:lvl>
  </w:abstractNum>
  <w:num w:numId="1">
    <w:abstractNumId w:val="0"/>
  </w:num>
  <w:num w:numId="3">
    <w:abstractNumId w:val="2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  <w:szCs w:val="56"/>
    </w:rPr>
    <w:basedOn w:val="Normal"/>
    <w:next w:val="Normal"/>
    <w:qFormat/>
  </w:style>
  <w:style w:type="paragraph" w:styleId="Heading1">
    <w:name w:val="Heading 1"/>
    <w:rPr>
      <w:sz w:val="32"/>
      <w:szCs w:val="32"/>
      <w:color w:val="2E74B5"/>
    </w:rPr>
    <w:basedOn w:val="Normal"/>
    <w:next w:val="Normal"/>
    <w:qFormat/>
  </w:style>
  <w:style w:type="paragraph" w:styleId="Heading2">
    <w:name w:val="Heading 2"/>
    <w:rPr>
      <w:sz w:val="26"/>
      <w:szCs w:val="26"/>
      <w:color w:val="2E74B5"/>
    </w:rPr>
    <w:basedOn w:val="Normal"/>
    <w:next w:val="Normal"/>
    <w:qFormat/>
  </w:style>
  <w:style w:type="paragraph" w:styleId="Heading3">
    <w:name w:val="Heading 3"/>
    <w:rPr>
      <w:sz w:val="24"/>
      <w:szCs w:val="24"/>
      <w:color w:val="1F4D78"/>
    </w:rPr>
    <w:basedOn w:val="Normal"/>
    <w:next w:val="Normal"/>
    <w:qFormat/>
  </w:style>
  <w:style w:type="paragraph" w:styleId="Heading4">
    <w:name w:val="Heading 4"/>
    <w:rPr>
      <w:i w:val="true"/>
      <w:color w:val="2E74B5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u w:val="single"/>
      <w:color w:val="0563C1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semiHidden/>
    <w:uiPriority w:val="99"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k0qgg26u7whh21qnn6c5aj.png"/><Relationship Id="rId8" Type="http://schemas.openxmlformats.org/officeDocument/2006/relationships/image" Target="media/ng5l6tkk8j9nvomlakxts.png"/><Relationship Id="rId9" Type="http://schemas.openxmlformats.org/officeDocument/2006/relationships/image" Target="media/q3w2xqkrzsm400qp0v6pmp.png"/><Relationship Id="rId10" Type="http://schemas.openxmlformats.org/officeDocument/2006/relationships/image" Target="media/vok91nw305mq5sfanv2ge.png"/></Relationships>
</file>

<file path=word/_rels/footer1.xml.rels><Relationships xmlns="http://schemas.openxmlformats.org/package/2006/relationships"/>
</file>

<file path=word/_rels/header1.xml.rels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无线局域网802.11</dc:title>
  <dcterms:created xsi:type="dcterms:W3CDTF">2024-11-12T15:11:14Z</dcterms:created>
  <dcterms:modified xsi:type="dcterms:W3CDTF">2024-11-12T15:11:14Z</dcterms:modified>
</cp:coreProperties>
</file>