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78"/>
        <w:gridCol w:w="92"/>
      </w:tblGrid>
      <w:tr>
        <w:trPr>
          <w:trHeight w:val="180" w:hRule="atLeast"/>
          <w:cantSplit w:val="true"/>
        </w:trPr>
        <w:tc>
          <w:tcPr>
            <w:tcW w:w="9589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distT="19050" distB="19050" distL="19050" distR="19050" simplePos="0" relativeHeight="3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92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ПРАКТИЧЕСКОЙ РАБОТЕ №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8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Таблица данных, оперируемых в информационной системе</w:t>
      </w:r>
    </w:p>
    <w:p>
      <w:pPr>
        <w:pStyle w:val="user6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– </w:t>
      </w:r>
      <w:r>
        <w:rPr/>
        <w:t>Таблица данных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40"/>
        <w:gridCol w:w="2206"/>
        <w:gridCol w:w="1421"/>
        <w:gridCol w:w="2988"/>
      </w:tblGrid>
      <w:tr>
        <w:trPr>
          <w:tblHeader w:val="true"/>
        </w:trPr>
        <w:tc>
          <w:tcPr>
            <w:tcW w:w="2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Информационный объект</w:t>
            </w:r>
          </w:p>
        </w:tc>
        <w:tc>
          <w:tcPr>
            <w:tcW w:w="22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Атрибут</w:t>
            </w:r>
          </w:p>
        </w:tc>
        <w:tc>
          <w:tcPr>
            <w:tcW w:w="1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Тип данных</w:t>
            </w:r>
          </w:p>
        </w:tc>
        <w:tc>
          <w:tcPr>
            <w:tcW w:w="2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Диапазон / возможные значения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Студент</w:t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id_student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целое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1…</w:t>
            </w:r>
            <w:r>
              <w:rPr>
                <w:lang w:val="en-US"/>
              </w:rPr>
              <w:t>99999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first_name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last_name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email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256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telegram_tag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32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push_token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256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Группа</w:t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id_group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целое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1…3999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group_name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10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Преподаватель</w:t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id_teacher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целое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1…499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first_name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last_name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department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75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Дисциплина</w:t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id_discipline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целое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1…999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discipline_name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100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Занятие</w:t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id_lesson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целое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1…29999999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date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дата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даты учебного семестра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start_time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время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09:00…19:40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end_time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время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10:30…21:10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auditorium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до 10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lesson_type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lecture, practice, lab, exam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ПодпискаНаУведомления</w:t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push_enabled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булево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email_enabled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булево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telegram_enabled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булево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lead_time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целое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15, 30, 60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ЖурналУведомлений</w:t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channel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push, email, telegram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status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строка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success, error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</w:r>
          </w:p>
        </w:tc>
        <w:tc>
          <w:tcPr>
            <w:tcW w:w="220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sent_at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дата+время</w:t>
            </w:r>
          </w:p>
        </w:tc>
        <w:tc>
          <w:tcPr>
            <w:tcW w:w="29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временная метка отправки</w:t>
            </w:r>
          </w:p>
        </w:tc>
      </w:tr>
    </w:tbl>
    <w:p>
      <w:pPr>
        <w:pStyle w:val="Heading1"/>
        <w:ind w:hanging="0" w:left="0"/>
        <w:rPr/>
      </w:pPr>
      <w:r>
        <w:rPr/>
        <w:t>Анализ предметной области и описание информационных объектов</w:t>
      </w:r>
    </w:p>
    <w:p>
      <w:pPr>
        <w:pStyle w:val="BodyText"/>
        <w:rPr/>
      </w:pPr>
      <w:r>
        <w:rPr/>
        <w:t>Предметная область: управление учебным процессом в вузе, включая ведение расписания, учёт успеваемости, информирование студентов и администрирование.</w:t>
      </w:r>
    </w:p>
    <w:p>
      <w:pPr>
        <w:pStyle w:val="BodyText"/>
        <w:rPr/>
      </w:pPr>
      <w:r>
        <w:rPr/>
        <w:t>Информационные объекты: Сту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дент,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Преподаватель, Администратор, Группа,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Дисци</w:t>
      </w:r>
      <w:r>
        <w:rPr/>
        <w:t>плина, Занятие, Подписка на уведомления, Журнал уведомлений.</w:t>
      </w:r>
    </w:p>
    <w:p>
      <w:pPr>
        <w:pStyle w:val="BodyText"/>
        <w:rPr/>
      </w:pPr>
      <w:r>
        <w:rPr/>
        <w:t>Типовые запросы: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/>
        <w:t>по</w:t>
      </w:r>
      <w:r>
        <w:rPr/>
        <w:t>луч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ение расписания для группы на дату;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олучение списка студентов группы с активными подписками;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ф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ормирование отчёта об успеваемости студента за семестр;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росмотр логов отправки уведомлений за период;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татистик</w:t>
      </w:r>
      <w:r>
        <w:rPr/>
        <w:t>а использования каналов уведомлений.</w:t>
      </w:r>
    </w:p>
    <w:p>
      <w:pPr>
        <w:pStyle w:val="Heading1"/>
        <w:ind w:hanging="0" w:left="0"/>
        <w:rPr/>
      </w:pPr>
      <w:r>
        <w:rPr/>
        <w:t>Выбор параметра для расчёта</w:t>
      </w:r>
    </w:p>
    <w:p>
      <w:pPr>
        <w:pStyle w:val="BodyText"/>
        <w:rPr/>
      </w:pPr>
      <w:r>
        <w:rPr/>
        <w:t>В качестве наиболее значимого параметра проектируемой ИС выбран количество занятий (пар) в день для одной учебной группы. Данный параметр непосредственно связан с нагрузкой на систему (формирование расписания, отправка уведомлений) и является случайной величиной, зависящей от дня недели, семестра и учебного плана. Для его анализа построен ряд распределения на основе типового расписания вуза.</w:t>
      </w:r>
    </w:p>
    <w:p>
      <w:pPr>
        <w:pStyle w:val="Heading1"/>
        <w:ind w:hanging="0" w:left="0"/>
        <w:rPr/>
      </w:pPr>
      <w:r>
        <w:rPr/>
        <w:t>Формирование ряда распределения</w:t>
      </w:r>
    </w:p>
    <w:p>
      <w:pPr>
        <w:pStyle w:val="BodyText"/>
        <w:rPr/>
      </w:pPr>
      <w:r>
        <w:rPr/>
        <w:t>На основе анализа учебного плана и реального расписания для большинства групп определены следующие возможные значения количества занятий в день: от 0 до 7 (максимальное количество пар в день при стандартном учебном дне). Вероятности каждого значения получены эмпирическим путём на основании данных за один семестр. В таблице</w:t>
      </w:r>
      <w:r>
        <w:rPr>
          <w:lang w:val="en-US"/>
        </w:rPr>
        <w:t xml:space="preserve"> </w:t>
      </w:r>
      <w:r>
        <w:rPr>
          <w:lang w:val="en-US"/>
        </w:rPr>
        <w:t>2</w:t>
      </w:r>
      <w:r>
        <w:rPr>
          <w:lang w:val="en-US"/>
        </w:rPr>
        <w:t xml:space="preserve"> </w:t>
      </w:r>
      <w:r>
        <w:rPr/>
        <w:t>приведён ряд распределения случайной величины</w:t>
      </w:r>
      <w:r>
        <w:rPr>
          <w:lang w:val="en-US"/>
        </w:rPr>
        <w:t xml:space="preserve">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 </w:t>
      </w:r>
      <w:r>
        <w:rPr/>
        <w:t>– количество занятий в день.</w:t>
      </w:r>
    </w:p>
    <w:p>
      <w:pPr>
        <w:pStyle w:val="user6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– Ряд распределения количества занятий в день для группы</w:t>
      </w:r>
    </w:p>
    <w:tbl>
      <w:tblPr>
        <w:tblW w:w="3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5"/>
        <w:gridCol w:w="1403"/>
        <w:gridCol w:w="2245"/>
      </w:tblGrid>
      <w:tr>
        <w:trPr>
          <w:tblHeader w:val="true"/>
        </w:trPr>
        <w:tc>
          <w:tcPr>
            <w:tcW w:w="1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x</w:t>
            </w:r>
            <w:r>
              <w:rPr>
                <w:vertAlign w:val="subscript"/>
              </w:rPr>
              <w:t>i</w:t>
            </w:r>
          </w:p>
        </w:tc>
        <w:tc>
          <w:tcPr>
            <w:tcW w:w="14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Частота</w:t>
            </w:r>
          </w:p>
        </w:tc>
        <w:tc>
          <w:tcPr>
            <w:tcW w:w="22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Вероятность p</w:t>
            </w:r>
            <w:r>
              <w:rPr>
                <w:vertAlign w:val="subscript"/>
              </w:rPr>
              <w:t>i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0</w:t>
            </w:r>
          </w:p>
        </w:tc>
        <w:tc>
          <w:tcPr>
            <w:tcW w:w="1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5</w:t>
            </w:r>
          </w:p>
        </w:tc>
        <w:tc>
          <w:tcPr>
            <w:tcW w:w="22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0,05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1</w:t>
            </w:r>
          </w:p>
        </w:tc>
        <w:tc>
          <w:tcPr>
            <w:tcW w:w="1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8</w:t>
            </w:r>
          </w:p>
        </w:tc>
        <w:tc>
          <w:tcPr>
            <w:tcW w:w="22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0,08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2</w:t>
            </w:r>
          </w:p>
        </w:tc>
        <w:tc>
          <w:tcPr>
            <w:tcW w:w="1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12</w:t>
            </w:r>
          </w:p>
        </w:tc>
        <w:tc>
          <w:tcPr>
            <w:tcW w:w="22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0,12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3</w:t>
            </w:r>
          </w:p>
        </w:tc>
        <w:tc>
          <w:tcPr>
            <w:tcW w:w="1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20</w:t>
            </w:r>
          </w:p>
        </w:tc>
        <w:tc>
          <w:tcPr>
            <w:tcW w:w="22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0,2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4</w:t>
            </w:r>
          </w:p>
        </w:tc>
        <w:tc>
          <w:tcPr>
            <w:tcW w:w="1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25</w:t>
            </w:r>
          </w:p>
        </w:tc>
        <w:tc>
          <w:tcPr>
            <w:tcW w:w="22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0,25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5</w:t>
            </w:r>
          </w:p>
        </w:tc>
        <w:tc>
          <w:tcPr>
            <w:tcW w:w="1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18</w:t>
            </w:r>
          </w:p>
        </w:tc>
        <w:tc>
          <w:tcPr>
            <w:tcW w:w="22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0,18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6</w:t>
            </w:r>
          </w:p>
        </w:tc>
        <w:tc>
          <w:tcPr>
            <w:tcW w:w="1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8</w:t>
            </w:r>
          </w:p>
        </w:tc>
        <w:tc>
          <w:tcPr>
            <w:tcW w:w="22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0,08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7</w:t>
            </w:r>
          </w:p>
        </w:tc>
        <w:tc>
          <w:tcPr>
            <w:tcW w:w="1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4</w:t>
            </w:r>
          </w:p>
        </w:tc>
        <w:tc>
          <w:tcPr>
            <w:tcW w:w="22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0,04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/>
            </w:pPr>
            <w:r>
              <w:rPr/>
              <w:t>Сумма</w:t>
            </w:r>
          </w:p>
        </w:tc>
        <w:tc>
          <w:tcPr>
            <w:tcW w:w="1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100</w:t>
            </w:r>
          </w:p>
        </w:tc>
        <w:tc>
          <w:tcPr>
            <w:tcW w:w="224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Heading1"/>
        <w:ind w:hanging="0" w:left="0"/>
        <w:rPr/>
      </w:pPr>
      <w:r>
        <w:rPr/>
        <w:t>Расчет математического ожидания</w:t>
      </w:r>
    </w:p>
    <w:p>
      <w:pPr>
        <w:pStyle w:val="BodyText"/>
        <w:rPr/>
      </w:pPr>
      <w:r>
        <w:rPr/>
        <w:t>Математическое ожидание M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>
        <w:rPr/>
        <w:t xml:space="preserve"> вычисляется по формуле:</w:t>
      </w:r>
    </w:p>
    <w:p>
      <w:pPr>
        <w:pStyle w:val="BodyText"/>
        <w:ind w:hanging="0" w:left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Mx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=</m:t>
          </m:r>
          <m:nary>
            <m:naryPr>
              <m:chr m:val="∑"/>
            </m:naryPr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1</m:t>
              </m:r>
            </m:sub>
            <m:sup>
              <m:r>
                <w:rPr>
                  <w:rFonts w:ascii="Cambria Math" w:hAnsi="Cambria Math"/>
                </w:rPr>
                <m:t xml:space="preserve">n</m:t>
              </m:r>
            </m:sup>
            <m:e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w:rPr>
                  <w:rFonts w:ascii="Cambria Math" w:hAnsi="Cambria Math"/>
                </w:rPr>
                <m:t xml:space="preserve">⋅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</m:e>
          </m:nary>
        </m:oMath>
      </m:oMathPara>
    </w:p>
    <w:p>
      <w:pPr>
        <w:pStyle w:val="BodyText"/>
        <w:rPr/>
      </w:pPr>
      <w:r>
        <w:rPr/>
        <w:t xml:space="preserve">Подставляя данные из таблицы </w:t>
      </w:r>
      <w:r>
        <w:rPr>
          <w:lang w:val="en-US"/>
        </w:rPr>
        <w:t>2</w:t>
      </w:r>
      <w:r>
        <w:rPr/>
        <w:t>:</w:t>
      </w:r>
    </w:p>
    <w:p>
      <w:pPr>
        <w:pStyle w:val="BodyText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Mx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0,05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0,08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0,12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3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0,2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4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0,25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5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0,18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6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0,08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7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0,04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3,58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занятий</m:t>
            </m:r>
          </m:e>
        </m:d>
      </m:oMath>
      <w:r>
        <w:rPr/>
        <w:t>.</w:t>
      </w:r>
    </w:p>
    <w:p>
      <w:pPr>
        <w:pStyle w:val="BodyText"/>
        <w:rPr/>
      </w:pPr>
      <w:r>
        <w:rPr/>
        <w:t xml:space="preserve">Следовательно, наиболее вероятное количество </w:t>
      </w:r>
      <w:r>
        <w:rPr/>
        <w:t>занятий</w:t>
      </w:r>
      <w:r>
        <w:rPr/>
        <w:t xml:space="preserve"> в день у группы находится в районе 3,58 </w:t>
      </w:r>
      <w:r>
        <w:rPr>
          <w:lang w:val="en-US"/>
        </w:rPr>
        <w:t>[</w:t>
      </w:r>
      <w:r>
        <w:rPr>
          <w:lang w:val="ru-RU"/>
        </w:rPr>
        <w:t>занятий</w:t>
      </w:r>
      <w:r>
        <w:rPr>
          <w:lang w:val="en-US"/>
        </w:rPr>
        <w:t>].</w:t>
      </w:r>
    </w:p>
    <w:p>
      <w:pPr>
        <w:pStyle w:val="Heading1"/>
        <w:ind w:hanging="0" w:left="0"/>
        <w:rPr/>
      </w:pPr>
      <w:r>
        <w:rPr/>
        <w:t>Расчет дисперсии</w:t>
      </w:r>
    </w:p>
    <w:p>
      <w:pPr>
        <w:pStyle w:val="BodyText"/>
        <w:ind w:hanging="0" w:left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Dx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=</m:t>
          </m:r>
          <m:nary>
            <m:naryPr>
              <m:chr m:val="∑"/>
            </m:naryPr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0</m:t>
              </m:r>
            </m:sub>
            <m:sup>
              <m:r>
                <w:rPr>
                  <w:rFonts w:ascii="Cambria Math" w:hAnsi="Cambria Math"/>
                </w:rPr>
                <m:t xml:space="preserve">n</m:t>
              </m:r>
            </m:sup>
            <m:e>
              <m:d>
                <m:dPr>
                  <m:begChr m:val="["/>
                  <m:endChr m:val="]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⋅</m:t>
                  </m:r>
                  <m:sSup>
                    <m:e>
                      <m:d>
                        <m:dPr>
                          <m:begChr m:val="("/>
                          <m:endChr m:val=")"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−</m:t>
          </m:r>
          <m:sSup>
            <m:e>
              <m:d>
                <m:dPr>
                  <m:begChr m:val="["/>
                  <m:endChr m:val="]"/>
                </m:dPr>
                <m:e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  <m: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p>
                    <m:e>
                      <m:d>
                        <m:dPr>
                          <m:begChr m:val="("/>
                          <m:endChr m:val=")"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⋅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=</m:t>
          </m:r>
          <m:sSubSup>
            <m:e>
              <m:r>
                <w:rPr>
                  <w:rFonts w:ascii="Cambria Math" w:hAnsi="Cambria Math"/>
                </w:rPr>
                <m:t xml:space="preserve">Mx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w:rPr>
              <w:rFonts w:ascii="Cambria Math" w:hAnsi="Cambria Math"/>
            </w:rPr>
            <m:t xml:space="preserve">−</m:t>
          </m:r>
          <m:sSup>
            <m:e>
              <m:d>
                <m:dPr>
                  <m:begChr m:val="["/>
                  <m:endChr m:val="]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Mx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</m:oMath>
      </m:oMathPara>
    </w:p>
    <w:p>
      <w:pPr>
        <w:pStyle w:val="BodyText"/>
        <w:rPr/>
      </w:pPr>
      <w:r>
        <w:rPr/>
        <w:t xml:space="preserve">Подставляя данные из таблицы </w:t>
      </w:r>
      <w:r>
        <w:rPr>
          <w:lang w:val="en-US"/>
        </w:rPr>
        <w:t>2</w:t>
      </w:r>
      <w:r>
        <w:rPr/>
        <w:t>:</w:t>
      </w:r>
    </w:p>
    <w:p>
      <w:pPr>
        <w:pStyle w:val="BodyText"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Mx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  <m:r>
          <w:rPr>
            <w:rFonts w:ascii="Cambria Math" w:hAnsi="Cambria Math"/>
          </w:rPr>
          <m:t xml:space="preserve">=</m:t>
        </m:r>
        <m:sSup>
          <m:e>
            <m:r>
              <w:rPr>
                <w:rFonts w:ascii="Cambria Math" w:hAnsi="Cambria Math"/>
              </w:rPr>
              <m:t xml:space="preserve">0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0,05</m:t>
        </m:r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1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0,08</m:t>
        </m:r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2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0,12</m:t>
        </m:r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3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0,2</m:t>
        </m:r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4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0,25</m:t>
        </m:r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5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0,18</m:t>
        </m:r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6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0,08</m:t>
        </m:r>
        <m:r>
          <w:rPr>
            <w:rFonts w:ascii="Cambria Math" w:hAnsi="Cambria Math"/>
          </w:rPr>
          <m:t xml:space="preserve">+</m:t>
        </m:r>
        <m:sSup>
          <m:e>
            <m:r>
              <w:rPr>
                <w:rFonts w:ascii="Cambria Math" w:hAnsi="Cambria Math"/>
              </w:rPr>
              <m:t xml:space="preserve">7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0,04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15,7</m:t>
        </m:r>
      </m:oMath>
      <w:r>
        <w:rPr/>
        <w:t>;</w:t>
      </w:r>
    </w:p>
    <w:p>
      <w:pPr>
        <w:pStyle w:val="BodyText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Dx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15,7</m:t>
        </m:r>
        <m:r>
          <w:rPr>
            <w:rFonts w:ascii="Cambria Math" w:hAnsi="Cambria Math"/>
          </w:rPr>
          <m:t xml:space="preserve">−</m:t>
        </m:r>
        <m:sSup>
          <m:e>
            <m:r>
              <w:rPr>
                <w:rFonts w:ascii="Cambria Math" w:hAnsi="Cambria Math"/>
              </w:rPr>
              <m:t xml:space="preserve">3,58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2,8836</m:t>
        </m:r>
        <m:d>
          <m:dPr>
            <m:begChr m:val="["/>
            <m:endChr m:val="]"/>
          </m:dPr>
          <m:e>
            <m:sSup>
              <m:e>
                <m:r>
                  <w:rPr>
                    <w:rFonts w:ascii="Cambria Math" w:hAnsi="Cambria Math"/>
                  </w:rPr>
                  <m:t xml:space="preserve">занятий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e>
        </m:d>
      </m:oMath>
      <w:r>
        <w:rPr/>
        <w:t>.</w:t>
      </w:r>
    </w:p>
    <w:p>
      <w:pPr>
        <w:pStyle w:val="Heading1"/>
        <w:ind w:hanging="0" w:left="0"/>
        <w:rPr/>
      </w:pPr>
      <w:r>
        <w:rPr/>
        <w:t>Расчет среднеквадратичного отклонения</w:t>
      </w:r>
    </w:p>
    <w:p>
      <w:pPr>
        <w:pStyle w:val="BodyText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σ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sSub>
              <m:e>
                <m:r>
                  <w:rPr>
                    <w:rFonts w:ascii="Cambria Math" w:hAnsi="Cambria Math"/>
                  </w:rPr>
                  <m:t xml:space="preserve">Dx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rad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2,8836</m:t>
            </m:r>
          </m:e>
        </m:ra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1,69812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занятий</m:t>
            </m:r>
          </m:e>
        </m:d>
      </m:oMath>
      <w:r>
        <w:rPr/>
        <w:t>.</w:t>
      </w:r>
    </w:p>
    <w:p>
      <w:pPr>
        <w:pStyle w:val="Heading1"/>
        <w:rPr/>
      </w:pPr>
      <w:r>
        <w:rPr/>
        <w:t>Расчёт энтропии</w:t>
      </w:r>
    </w:p>
    <w:p>
      <w:pPr>
        <w:pStyle w:val="BodyText"/>
        <w:rPr/>
      </w:pPr>
      <w:r>
        <w:rPr/>
        <w:t>Энтропия H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>
        <w:rPr/>
        <w:t xml:space="preserve"> вычисляется по формуле Шеннона</w:t>
      </w:r>
      <w:r>
        <w:rPr>
          <w:lang w:val="en-US"/>
        </w:rPr>
        <w:t>:</w:t>
      </w:r>
    </w:p>
    <w:p>
      <w:pPr>
        <w:pStyle w:val="BodyText"/>
        <w:ind w:hanging="0" w:left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H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−</m:t>
          </m:r>
          <m:nary>
            <m:naryPr>
              <m:chr m:val="∑"/>
            </m:naryPr>
            <m:sub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1</m:t>
              </m:r>
            </m:sub>
            <m:sup>
              <m:r>
                <w:rPr>
                  <w:rFonts w:ascii="Cambria Math" w:hAnsi="Cambria Math"/>
                </w:rPr>
                <m:t xml:space="preserve">n</m:t>
              </m:r>
            </m:sup>
            <m:e>
              <m:d>
                <m:dPr>
                  <m:begChr m:val="["/>
                  <m:endChr m:val="]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⋅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e>
              </m:d>
            </m:e>
          </m:nary>
        </m:oMath>
      </m:oMathPara>
    </w:p>
    <w:p>
      <w:pPr>
        <w:pStyle w:val="BodyText"/>
        <w:rPr/>
      </w:pPr>
      <w:r>
        <w:rPr/>
        <w:t xml:space="preserve">За основание логарифма </w:t>
      </w:r>
      <w:r>
        <w:rPr>
          <w:lang w:val="en-US"/>
        </w:rPr>
        <w:t xml:space="preserve">a </w:t>
      </w:r>
      <w:r>
        <w:rPr>
          <w:lang w:val="ru-RU"/>
        </w:rPr>
        <w:t>возьмем двоичную систему счисления.</w:t>
      </w:r>
    </w:p>
    <w:p>
      <w:pPr>
        <w:pStyle w:val="BodyText"/>
        <w:rPr/>
      </w:pPr>
      <w:r>
        <w:rPr/>
        <w:t xml:space="preserve">Используя данные, полученные в </w:t>
      </w:r>
      <w:r>
        <w:rPr>
          <w:lang w:val="ru-RU"/>
        </w:rPr>
        <w:t>таблице 2</w:t>
      </w:r>
      <w:r>
        <w:rPr/>
        <w:t>, получ</w:t>
      </w:r>
      <w:r>
        <w:rPr/>
        <w:t>ае</w:t>
      </w:r>
      <w:r>
        <w:rPr/>
        <w:t>м:</w:t>
      </w:r>
    </w:p>
    <w:p>
      <w:pPr>
        <w:pStyle w:val="BodyText"/>
        <w:ind w:hanging="0" w:left="0"/>
        <w:jc w:val="center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2,7616281182630478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бит</m:t>
            </m:r>
          </m:e>
        </m:d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2,762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бит</m:t>
            </m:r>
          </m:e>
        </m:d>
      </m:oMath>
      <w:r>
        <w:rPr/>
        <w:t>.</w:t>
      </w:r>
    </w:p>
    <w:p>
      <w:pPr>
        <w:pStyle w:val="Heading1"/>
        <w:ind w:hanging="0" w:left="0"/>
        <w:rPr/>
      </w:pPr>
      <w:r>
        <w:rPr/>
        <w:t>Результирующая таблица</w:t>
      </w:r>
    </w:p>
    <w:p>
      <w:pPr>
        <w:pStyle w:val="user6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– </w:t>
      </w:r>
      <w:r>
        <w:rPr/>
        <w:t>Параметры проектируемой ИС</w:t>
      </w:r>
    </w:p>
    <w:tbl>
      <w:tblPr>
        <w:tblW w:w="3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8"/>
        <w:gridCol w:w="1965"/>
      </w:tblGrid>
      <w:tr>
        <w:trPr>
          <w:tblHeader w:val="true"/>
        </w:trPr>
        <w:tc>
          <w:tcPr>
            <w:tcW w:w="3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position w:val="0"/>
                <w:sz w:val="22"/>
                <w:vertAlign w:val="baseline"/>
              </w:rPr>
            </w:pPr>
            <w:r>
              <w:rPr>
                <w:position w:val="0"/>
                <w:sz w:val="22"/>
                <w:vertAlign w:val="baseline"/>
              </w:rPr>
              <w:t>Параметр</w:t>
            </w:r>
          </w:p>
        </w:tc>
        <w:tc>
          <w:tcPr>
            <w:tcW w:w="1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Значение</w:t>
            </w:r>
          </w:p>
        </w:tc>
      </w:tr>
      <w:tr>
        <w:trPr/>
        <w:tc>
          <w:tcPr>
            <w:tcW w:w="364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left"/>
              <w:rPr/>
            </w:pPr>
            <w:r>
              <w:rPr/>
              <w:t>Математическое ожидание</w:t>
            </w:r>
          </w:p>
        </w:tc>
        <w:tc>
          <w:tcPr>
            <w:tcW w:w="19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/>
            </w:pPr>
            <w:r>
              <w:rPr/>
              <w:t xml:space="preserve">3,58 </w:t>
            </w:r>
            <w:r>
              <w:rPr>
                <w:lang w:val="en-US"/>
              </w:rPr>
              <w:t>[</w:t>
            </w:r>
            <w:r>
              <w:rPr>
                <w:lang w:val="ru-RU"/>
              </w:rPr>
              <w:t>занятий</w:t>
            </w:r>
            <w:r>
              <w:rPr>
                <w:lang w:val="en-US"/>
              </w:rPr>
              <w:t>]</w:t>
            </w:r>
          </w:p>
        </w:tc>
      </w:tr>
      <w:tr>
        <w:trPr/>
        <w:tc>
          <w:tcPr>
            <w:tcW w:w="364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left"/>
              <w:rPr/>
            </w:pPr>
            <w:r>
              <w:rPr/>
              <w:t>Дисперсия</w:t>
            </w:r>
          </w:p>
        </w:tc>
        <w:tc>
          <w:tcPr>
            <w:tcW w:w="19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/>
            </w:pPr>
            <w:r>
              <w:rPr/>
              <w:t xml:space="preserve">2,8836 </w:t>
            </w:r>
            <w:r>
              <w:rPr>
                <w:lang w:val="en-US"/>
              </w:rPr>
              <w:t>[</w:t>
            </w:r>
            <w:r>
              <w:rPr>
                <w:lang w:val="ru-RU"/>
              </w:rPr>
              <w:t>занятий</w:t>
            </w:r>
            <w:r>
              <w:rPr>
                <w:vertAlign w:val="superscript"/>
                <w:lang w:val="ru-RU"/>
              </w:rPr>
              <w:t>2</w:t>
            </w:r>
            <w:r>
              <w:rPr>
                <w:lang w:val="en-US"/>
              </w:rPr>
              <w:t>]</w:t>
            </w:r>
          </w:p>
        </w:tc>
      </w:tr>
      <w:tr>
        <w:trPr/>
        <w:tc>
          <w:tcPr>
            <w:tcW w:w="364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left"/>
              <w:rPr/>
            </w:pPr>
            <w:r>
              <w:rPr/>
              <w:t>Среднеквадратичное отклонение</w:t>
            </w:r>
          </w:p>
        </w:tc>
        <w:tc>
          <w:tcPr>
            <w:tcW w:w="19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/>
            </w:pPr>
            <w:r>
              <w:rPr/>
              <w:t xml:space="preserve">1,69812 </w:t>
            </w:r>
            <w:r>
              <w:rPr>
                <w:lang w:val="en-US"/>
              </w:rPr>
              <w:t>[</w:t>
            </w:r>
            <w:r>
              <w:rPr>
                <w:lang w:val="ru-RU"/>
              </w:rPr>
              <w:t>занятий</w:t>
            </w:r>
            <w:r>
              <w:rPr>
                <w:lang w:val="en-US"/>
              </w:rPr>
              <w:t>]</w:t>
            </w:r>
          </w:p>
        </w:tc>
      </w:tr>
      <w:tr>
        <w:trPr/>
        <w:tc>
          <w:tcPr>
            <w:tcW w:w="364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left"/>
              <w:rPr/>
            </w:pPr>
            <w:r>
              <w:rPr/>
              <w:t>Энтропия</w:t>
            </w:r>
          </w:p>
        </w:tc>
        <w:tc>
          <w:tcPr>
            <w:tcW w:w="19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>
                <w:lang w:val="en-US"/>
              </w:rPr>
            </w:pPr>
            <w:r>
              <w:rPr>
                <w:lang w:val="en-US"/>
              </w:rPr>
              <w:t>2,762 [</w:t>
            </w:r>
            <w:r>
              <w:rPr>
                <w:lang w:val="ru-RU"/>
              </w:rPr>
              <w:t>бит</w:t>
            </w:r>
            <w:r>
              <w:rPr>
                <w:lang w:val="en-US"/>
              </w:rPr>
              <w:t>]</w:t>
            </w:r>
          </w:p>
        </w:tc>
      </w:tr>
    </w:tbl>
    <w:p>
      <w:pPr>
        <w:pStyle w:val="BodyText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39031024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lang w:val="ru-RU"/>
          </w:rPr>
        </w:pPr>
        <w:r>
          <w:rPr>
            <w:lang w:val="ru-RU"/>
          </w:rPr>
          <w:fldChar w:fldCharType="begin"/>
        </w:r>
        <w:r>
          <w:rPr>
            <w:lang w:val="ru-RU"/>
          </w:rPr>
          <w:instrText xml:space="preserve"> PAGE </w:instrText>
        </w:r>
        <w:r>
          <w:rPr>
            <w:lang w:val="ru-RU"/>
          </w:rPr>
          <w:fldChar w:fldCharType="separate"/>
        </w:r>
        <w:r>
          <w:rPr>
            <w:lang w:val="ru-RU"/>
          </w:rPr>
          <w:t>4</w:t>
        </w:r>
        <w:r>
          <w:rPr>
            <w:lang w:val="ru-RU"/>
          </w:rPr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ru-RU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character" w:styleId="Style15">
    <w:name w:val="Символ нумерации"/>
    <w:qFormat/>
    <w:rPr/>
  </w:style>
  <w:style w:type="character" w:styleId="Style16">
    <w:name w:val="Маркеры"/>
    <w:qFormat/>
    <w:rPr>
      <w:rFonts w:ascii="OpenSymbol" w:hAnsi="OpenSymbol" w:eastAsia="OpenSymbol" w:cs="OpenSymbol"/>
    </w:rPr>
  </w:style>
  <w:style w:type="paragraph" w:styleId="Style17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9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8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Style18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Style18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Style20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21" w:customStyle="1">
    <w:name w:val="Заголовок таблицы"/>
    <w:basedOn w:val="Style20"/>
    <w:qFormat/>
    <w:pPr>
      <w:jc w:val="center"/>
    </w:pPr>
    <w:rPr>
      <w:b/>
      <w:bCs/>
    </w:rPr>
  </w:style>
  <w:style w:type="paragraph" w:styleId="Style22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276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  <w:jc w:val="left"/>
    </w:pPr>
    <w:rPr/>
  </w:style>
  <w:style w:type="paragraph" w:styleId="TOC4">
    <w:name w:val="toc 4"/>
    <w:basedOn w:val="Style18"/>
    <w:pPr/>
    <w:rPr/>
  </w:style>
  <w:style w:type="paragraph" w:styleId="TOC5">
    <w:name w:val="toc 5"/>
    <w:basedOn w:val="Style18"/>
    <w:pPr/>
    <w:rPr/>
  </w:style>
  <w:style w:type="paragraph" w:styleId="TOC6">
    <w:name w:val="toc 6"/>
    <w:basedOn w:val="Style18"/>
    <w:pPr/>
    <w:rPr/>
  </w:style>
  <w:style w:type="paragraph" w:styleId="TOC7">
    <w:name w:val="toc 7"/>
    <w:basedOn w:val="Style18"/>
    <w:pPr/>
    <w:rPr/>
  </w:style>
  <w:style w:type="paragraph" w:styleId="TOC8">
    <w:name w:val="toc 8"/>
    <w:basedOn w:val="Style18"/>
    <w:pPr/>
    <w:rPr/>
  </w:style>
  <w:style w:type="paragraph" w:styleId="TOC9">
    <w:name w:val="toc 9"/>
    <w:basedOn w:val="Style18"/>
    <w:pPr/>
    <w:rPr/>
  </w:style>
  <w:style w:type="paragraph" w:styleId="Style23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paragraph" w:styleId="Style24">
    <w:name w:val="Текст в заданном формате"/>
    <w:basedOn w:val="Normal"/>
    <w:qFormat/>
    <w:pPr>
      <w:spacing w:before="0" w:after="0"/>
      <w:jc w:val="left"/>
    </w:pPr>
    <w:rPr>
      <w:rFonts w:ascii="Liberation Mono" w:hAnsi="Liberation Mono" w:eastAsia="Liberation Mono" w:cs="Liberation Mono"/>
      <w:sz w:val="20"/>
      <w:szCs w:val="20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user9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numbering" w:styleId="Style25" w:customStyle="1">
    <w:name w:val="Без списка"/>
    <w:uiPriority w:val="99"/>
    <w:semiHidden/>
    <w:unhideWhenUsed/>
    <w:qFormat/>
  </w:style>
  <w:style w:type="numbering" w:styleId="user10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1491</TotalTime>
  <Application>LibreOffice/25.8.5.2$Windows_X86_64 LibreOffice_project/9c8b85f387cc00a89945a79c9e6239f32e450ac2</Application>
  <AppVersion>15.0000</AppVersion>
  <Pages>4</Pages>
  <Words>548</Words>
  <Characters>3649</Characters>
  <CharactersWithSpaces>4066</CharactersWithSpaces>
  <Paragraphs>193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2026-03-24T21:40:07Z</dcterms:modified>
  <cp:revision>118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