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>
                <w:lang w:val="ru-RU"/>
              </w:rPr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 w:left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ОТЧЕТ ПО ПРАКТИЧЕСКОЙ РАБОТЕ 15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  <w:lang w:val="ru-RU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34"/>
        <w:gridCol w:w="4834"/>
        <w:gridCol w:w="1107"/>
        <w:gridCol w:w="537"/>
        <w:gridCol w:w="1126"/>
      </w:tblGrid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lang w:val="ru-RU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  <w:lang w:val="ru-RU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  <w:lang w:val="ru-RU"/>
        </w:rPr>
        <w:t>Москва 2026 г.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 w:left="0"/>
        <w:rPr>
          <w:lang w:val="ru-RU"/>
        </w:rPr>
      </w:pPr>
      <w:r>
        <w:rPr>
          <w:lang w:val="ru-RU"/>
        </w:rPr>
        <w:t>1. Анализ угроз безопасности передачи информации в сети проектируемой АСУ</w:t>
      </w:r>
    </w:p>
    <w:p>
      <w:pPr>
        <w:pStyle w:val="BodyText"/>
        <w:spacing w:before="0" w:after="0"/>
        <w:ind w:firstLine="709" w:left="0"/>
        <w:rPr>
          <w:lang w:val="ru-RU"/>
        </w:rPr>
      </w:pPr>
      <w:r>
        <w:rPr>
          <w:lang w:val="ru-RU"/>
        </w:rPr>
        <w:t>Согласно архитектуре АСУ информационное взаимодействие осуществляется по следующим каналам:</w:t>
      </w:r>
    </w:p>
    <w:p>
      <w:pPr>
        <w:pStyle w:val="BodyText"/>
        <w:numPr>
          <w:ilvl w:val="0"/>
          <w:numId w:val="3"/>
        </w:numPr>
        <w:spacing w:before="0" w:after="0"/>
        <w:rPr>
          <w:lang w:val="ru-RU"/>
        </w:rPr>
      </w:pPr>
      <w:r>
        <w:rPr>
          <w:lang w:val="ru-RU"/>
        </w:rPr>
        <w:t>в</w:t>
      </w:r>
      <w:r>
        <w:rPr>
          <w:lang w:val="ru-RU"/>
        </w:rPr>
        <w:t>заимодействие внешних пользователей с веб-интерфейсом через сеть Интернет;</w:t>
      </w:r>
    </w:p>
    <w:p>
      <w:pPr>
        <w:pStyle w:val="BodyText"/>
        <w:numPr>
          <w:ilvl w:val="0"/>
          <w:numId w:val="3"/>
        </w:numPr>
        <w:spacing w:before="0" w:after="0"/>
        <w:rPr>
          <w:lang w:val="ru-RU"/>
        </w:rPr>
      </w:pPr>
      <w:r>
        <w:rPr>
          <w:lang w:val="ru-RU"/>
        </w:rPr>
        <w:t>о</w:t>
      </w:r>
      <w:r>
        <w:rPr>
          <w:lang w:val="ru-RU"/>
        </w:rPr>
        <w:t>бмен данными между микросервисами (FastAPI, Elasticsearch, PostgreSQL, NLP-модуль) внутри центра обработки данных;</w:t>
      </w:r>
    </w:p>
    <w:p>
      <w:pPr>
        <w:pStyle w:val="BodyText"/>
        <w:numPr>
          <w:ilvl w:val="0"/>
          <w:numId w:val="3"/>
        </w:numPr>
        <w:spacing w:before="0" w:after="0"/>
        <w:rPr>
          <w:lang w:val="ru-RU"/>
        </w:rPr>
      </w:pPr>
      <w:r>
        <w:rPr>
          <w:lang w:val="ru-RU"/>
        </w:rPr>
        <w:t>о</w:t>
      </w:r>
      <w:r>
        <w:rPr>
          <w:lang w:val="ru-RU"/>
        </w:rPr>
        <w:t>бращение модуля внешнего поиска к API партнёрских платформ по сети Интернет;</w:t>
      </w:r>
    </w:p>
    <w:p>
      <w:pPr>
        <w:pStyle w:val="BodyText"/>
        <w:numPr>
          <w:ilvl w:val="0"/>
          <w:numId w:val="3"/>
        </w:numPr>
        <w:spacing w:before="0" w:after="0"/>
        <w:rPr>
          <w:lang w:val="ru-RU"/>
        </w:rPr>
      </w:pPr>
      <w:r>
        <w:rPr>
          <w:lang w:val="ru-RU"/>
        </w:rPr>
        <w:t>у</w:t>
      </w:r>
      <w:r>
        <w:rPr>
          <w:lang w:val="ru-RU"/>
        </w:rPr>
        <w:t>далённое администрирование и мониторинг компонентов системы администратором нейросети и техническим персоналом.</w:t>
      </w:r>
    </w:p>
    <w:p>
      <w:pPr>
        <w:pStyle w:val="BodyText"/>
        <w:spacing w:before="0" w:after="0"/>
        <w:ind w:firstLine="709" w:left="0"/>
        <w:rPr>
          <w:lang w:val="ru-RU"/>
        </w:rPr>
      </w:pPr>
      <w:r>
        <w:rPr>
          <w:lang w:val="ru-RU"/>
        </w:rPr>
        <w:t>На основе модели угроз и нефункциональных требований выделены следующие актуальные угрозы безопасности передаваемой информации: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lang w:val="ru-RU"/>
        </w:rPr>
      </w:pPr>
      <w:r>
        <w:rPr>
          <w:lang w:val="ru-RU"/>
        </w:rPr>
        <w:t>п</w:t>
      </w:r>
      <w:r>
        <w:rPr>
          <w:lang w:val="ru-RU"/>
        </w:rPr>
        <w:t>ерехв</w:t>
      </w:r>
      <w:r>
        <w:rPr>
          <w:rFonts w:eastAsia="Droid Sans Fallback"/>
          <w:color w:val="auto"/>
          <w:kern w:val="2"/>
          <w:lang w:val="ru-RU" w:eastAsia="zh-CN" w:bidi="hi-IN"/>
        </w:rPr>
        <w:t>ат трафика (сниффинг) – пассивный перехват данных при передаче по незащищённым каналам на уровне провайдера или локальной сети. Актуально для пользовательских сессий и межсервисного обмена;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а</w:t>
      </w:r>
      <w:r>
        <w:rPr>
          <w:rFonts w:eastAsia="Droid Sans Fallback"/>
          <w:color w:val="auto"/>
          <w:kern w:val="2"/>
          <w:lang w:val="ru-RU" w:eastAsia="zh-CN" w:bidi="hi-IN"/>
        </w:rPr>
        <w:t>така «Человек посередине» – активный перехват с возможностью модификации трафика. Например, подмена сертификата веб-сервера, перехват сессионных cookie;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н</w:t>
      </w:r>
      <w:r>
        <w:rPr>
          <w:rFonts w:eastAsia="Droid Sans Fallback"/>
          <w:color w:val="auto"/>
          <w:kern w:val="2"/>
          <w:lang w:val="ru-RU" w:eastAsia="zh-CN" w:bidi="hi-IN"/>
        </w:rPr>
        <w:t>есанкционированный доступ к сетевым ресурсам – попытки прямого подключения к портам СУБД, поискового движка или файлового хранилища в обход прикладной логики;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у</w:t>
      </w:r>
      <w:r>
        <w:rPr>
          <w:rFonts w:eastAsia="Droid Sans Fallback"/>
          <w:color w:val="auto"/>
          <w:kern w:val="2"/>
          <w:lang w:val="ru-RU" w:eastAsia="zh-CN" w:bidi="hi-IN"/>
        </w:rPr>
        <w:t>течка данных при взаимодействии с внешними API – передача конфиденциальных параметров запроса или API-ключей в открытом виде к внешним источникам контента;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к</w:t>
      </w:r>
      <w:r>
        <w:rPr>
          <w:rFonts w:eastAsia="Droid Sans Fallback"/>
          <w:color w:val="auto"/>
          <w:kern w:val="2"/>
          <w:lang w:val="ru-RU" w:eastAsia="zh-CN" w:bidi="hi-IN"/>
        </w:rPr>
        <w:t>омпрометация канала управления – перехват учётных данных администратора или управляющих команд при удалённом администрировании (SSH, Kubernetes API);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в</w:t>
      </w:r>
      <w:r>
        <w:rPr>
          <w:rFonts w:eastAsia="Droid Sans Fallback"/>
          <w:color w:val="auto"/>
          <w:kern w:val="2"/>
          <w:lang w:val="ru-RU" w:eastAsia="zh-CN" w:bidi="hi-IN"/>
        </w:rPr>
        <w:t>нутренние атаки типа «Восток-Запад» – распространение вредоносно</w:t>
      </w:r>
      <w:r>
        <w:rPr>
          <w:lang w:val="ru-RU"/>
        </w:rPr>
        <w:t>го трафика между микросервисами внутри ЦОД после компрометации одного из контейнеров.</w:t>
      </w:r>
    </w:p>
    <w:p>
      <w:pPr>
        <w:pStyle w:val="Heading2"/>
        <w:numPr>
          <w:ilvl w:val="1"/>
          <w:numId w:val="2"/>
        </w:numPr>
        <w:ind w:firstLine="709" w:left="0"/>
        <w:rPr>
          <w:lang w:val="ru-RU"/>
        </w:rPr>
      </w:pPr>
      <w:r>
        <w:rPr>
          <w:lang w:val="ru-RU"/>
        </w:rPr>
        <w:t>2. Требования к средствам защиты передачи данных</w:t>
      </w:r>
    </w:p>
    <w:p>
      <w:pPr>
        <w:pStyle w:val="BodyText"/>
        <w:rPr>
          <w:lang w:val="ru-RU"/>
        </w:rPr>
      </w:pPr>
      <w:r>
        <w:rPr>
          <w:lang w:val="ru-RU"/>
        </w:rPr>
        <w:t>С учётом выделенных угроз, нормативных документов (ФЗ №152 «О персональных данных», ГОСТ 34.10-2018, приказы ФСТЭК) и нефункциональных требований к системе, средства защиты должны обеспечивать: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lang w:val="ru-RU"/>
        </w:rPr>
      </w:pPr>
      <w:r>
        <w:rPr>
          <w:lang w:val="ru-RU"/>
        </w:rPr>
        <w:t>ш</w:t>
      </w:r>
      <w:r>
        <w:rPr>
          <w:lang w:val="ru-RU"/>
        </w:rPr>
        <w:t>иф</w:t>
      </w:r>
      <w:r>
        <w:rPr>
          <w:rFonts w:eastAsia="Droid Sans Fallback"/>
          <w:color w:val="auto"/>
          <w:kern w:val="2"/>
          <w:lang w:val="ru-RU" w:eastAsia="zh-CN" w:bidi="hi-IN"/>
        </w:rPr>
        <w:t>рование и аутентификацию всех внешних клиент-серверных соединений;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о</w:t>
      </w:r>
      <w:r>
        <w:rPr>
          <w:rFonts w:eastAsia="Droid Sans Fallback"/>
          <w:color w:val="auto"/>
          <w:kern w:val="2"/>
          <w:lang w:val="ru-RU" w:eastAsia="zh-CN" w:bidi="hi-IN"/>
        </w:rPr>
        <w:t>рганизацию защищённых туннелей для удалённого администрирования и связи между распределёнными сегментами;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в</w:t>
      </w:r>
      <w:r>
        <w:rPr>
          <w:rFonts w:eastAsia="Droid Sans Fallback"/>
          <w:color w:val="auto"/>
          <w:kern w:val="2"/>
          <w:lang w:val="ru-RU" w:eastAsia="zh-CN" w:bidi="hi-IN"/>
        </w:rPr>
        <w:t>заимную аутентификацию и шифрование трафика между микросервисами внутри ЦОД;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ф</w:t>
      </w:r>
      <w:r>
        <w:rPr>
          <w:rFonts w:eastAsia="Droid Sans Fallback"/>
          <w:color w:val="auto"/>
          <w:kern w:val="2"/>
          <w:lang w:val="ru-RU" w:eastAsia="zh-CN" w:bidi="hi-IN"/>
        </w:rPr>
        <w:t>ильтрацию и контроль трафика на периметре сети с функциями предотвращения вторжений;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rFonts w:eastAsia="Droid Sans Fallback"/>
          <w:color w:val="auto"/>
          <w:kern w:val="2"/>
          <w:lang w:val="ru-RU" w:eastAsia="zh-CN" w:bidi="hi-IN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з</w:t>
      </w:r>
      <w:r>
        <w:rPr>
          <w:rFonts w:eastAsia="Droid Sans Fallback"/>
          <w:color w:val="auto"/>
          <w:kern w:val="2"/>
          <w:lang w:val="ru-RU" w:eastAsia="zh-CN" w:bidi="hi-IN"/>
        </w:rPr>
        <w:t>ащищённое хранение и передачу ключевой информации и паролей;</w:t>
      </w:r>
    </w:p>
    <w:p>
      <w:pPr>
        <w:pStyle w:val="BodyText"/>
        <w:widowControl w:val="false"/>
        <w:numPr>
          <w:ilvl w:val="0"/>
          <w:numId w:val="3"/>
        </w:numPr>
        <w:suppressAutoHyphens w:val="true"/>
        <w:bidi w:val="0"/>
        <w:spacing w:before="0" w:after="0"/>
        <w:rPr>
          <w:lang w:val="ru-RU"/>
        </w:rPr>
      </w:pPr>
      <w:r>
        <w:rPr>
          <w:rFonts w:eastAsia="Droid Sans Fallback"/>
          <w:color w:val="auto"/>
          <w:kern w:val="2"/>
          <w:lang w:val="ru-RU" w:eastAsia="zh-CN" w:bidi="hi-IN"/>
        </w:rPr>
        <w:t>с</w:t>
      </w:r>
      <w:r>
        <w:rPr>
          <w:rFonts w:eastAsia="Droid Sans Fallback"/>
          <w:color w:val="auto"/>
          <w:kern w:val="2"/>
          <w:lang w:val="ru-RU" w:eastAsia="zh-CN" w:bidi="hi-IN"/>
        </w:rPr>
        <w:t>оот</w:t>
      </w:r>
      <w:r>
        <w:rPr>
          <w:lang w:val="ru-RU"/>
        </w:rPr>
        <w:t>ветствие требованиям по локализации персональных данных и сертификации средств криптозащиты при использовании на территории РФ.</w:t>
      </w:r>
    </w:p>
    <w:p>
      <w:pPr>
        <w:pStyle w:val="Heading2"/>
        <w:numPr>
          <w:ilvl w:val="1"/>
          <w:numId w:val="2"/>
        </w:numPr>
        <w:ind w:firstLine="709" w:left="0"/>
        <w:rPr>
          <w:lang w:val="ru-RU"/>
        </w:rPr>
      </w:pPr>
      <w:r>
        <w:rPr>
          <w:lang w:val="ru-RU"/>
        </w:rPr>
        <w:t>3. Сравнительный анализ существующих средств обеспечения безопасности передачи информации</w:t>
      </w:r>
    </w:p>
    <w:p>
      <w:pPr>
        <w:pStyle w:val="BodyText"/>
        <w:rPr>
          <w:lang w:val="ru-RU"/>
        </w:rPr>
      </w:pPr>
      <w:r>
        <w:rPr>
          <w:lang w:val="ru-RU"/>
        </w:rPr>
        <w:t>В таблице 1 представлены основные классы средств защиты передачи данных и их представители, релевантные для проектируемой АСУ.</w:t>
      </w:r>
    </w:p>
    <w:p>
      <w:pPr>
        <w:pStyle w:val="BodyText"/>
        <w:rPr>
          <w:lang w:val="ru-RU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lang w:val="ru-RU"/>
        </w:rPr>
      </w:r>
    </w:p>
    <w:p>
      <w:pPr>
        <w:pStyle w:val="user6"/>
        <w:rPr>
          <w:lang w:val="ru-RU"/>
        </w:rPr>
      </w:pPr>
      <w:r>
        <w:rPr>
          <w:lang w:val="ru-RU"/>
        </w:rPr>
        <w:t xml:space="preserve">Таблица </w:t>
      </w:r>
      <w:r>
        <w:rPr>
          <w:lang w:val="ru-RU"/>
        </w:rPr>
        <w:fldChar w:fldCharType="begin"/>
      </w:r>
      <w:r>
        <w:rPr>
          <w:lang w:val="ru-RU"/>
        </w:rPr>
        <w:instrText xml:space="preserve"> SEQ Таблица \* ARABIC </w:instrText>
      </w:r>
      <w:r>
        <w:rPr>
          <w:lang w:val="ru-RU"/>
        </w:rPr>
        <w:fldChar w:fldCharType="separate"/>
      </w:r>
      <w:r>
        <w:rPr>
          <w:lang w:val="ru-RU"/>
        </w:rPr>
        <w:t>1</w:t>
      </w:r>
      <w:r>
        <w:rPr>
          <w:lang w:val="ru-RU"/>
        </w:rPr>
        <w:fldChar w:fldCharType="end"/>
      </w:r>
      <w:r>
        <w:rPr>
          <w:lang w:val="ru-RU"/>
        </w:rPr>
        <w:t xml:space="preserve"> - Сравнение средств защиты передачи данных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473"/>
        <w:gridCol w:w="2419"/>
        <w:gridCol w:w="2419"/>
        <w:gridCol w:w="2421"/>
        <w:gridCol w:w="2419"/>
        <w:gridCol w:w="2419"/>
      </w:tblGrid>
      <w:tr>
        <w:trPr/>
        <w:tc>
          <w:tcPr>
            <w:tcW w:w="2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user8"/>
              <w:rPr>
                <w:lang w:val="ru-RU"/>
              </w:rPr>
            </w:pPr>
            <w:r>
              <w:rPr>
                <w:lang w:val="ru-RU"/>
              </w:rPr>
              <w:t>Критерий / Средство</w:t>
            </w:r>
          </w:p>
        </w:tc>
        <w:tc>
          <w:tcPr>
            <w:tcW w:w="2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user8"/>
              <w:rPr>
                <w:lang w:val="ru-RU"/>
              </w:rPr>
            </w:pPr>
            <w:r>
              <w:rPr>
                <w:lang w:val="ru-RU"/>
              </w:rPr>
              <w:t>TLS 1.3 / HTTPS</w:t>
            </w:r>
          </w:p>
        </w:tc>
        <w:tc>
          <w:tcPr>
            <w:tcW w:w="2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user8"/>
              <w:rPr>
                <w:lang w:val="ru-RU"/>
              </w:rPr>
            </w:pPr>
            <w:r>
              <w:rPr>
                <w:lang w:val="ru-RU"/>
              </w:rPr>
              <w:t>WireGuard VPN</w:t>
            </w:r>
          </w:p>
        </w:tc>
        <w:tc>
          <w:tcPr>
            <w:tcW w:w="2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user8"/>
              <w:rPr>
                <w:lang w:val="ru-RU"/>
              </w:rPr>
            </w:pPr>
            <w:r>
              <w:rPr>
                <w:lang w:val="ru-RU"/>
              </w:rPr>
              <w:t>IPsec (StrongSwan)</w:t>
            </w:r>
          </w:p>
        </w:tc>
        <w:tc>
          <w:tcPr>
            <w:tcW w:w="2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user8"/>
              <w:rPr>
                <w:lang w:val="ru-RU"/>
              </w:rPr>
            </w:pPr>
            <w:r>
              <w:rPr>
                <w:lang w:val="ru-RU"/>
              </w:rPr>
              <w:t>Istio Service Mesh (mTLS)</w:t>
            </w:r>
          </w:p>
        </w:tc>
        <w:tc>
          <w:tcPr>
            <w:tcW w:w="2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8"/>
              <w:rPr>
                <w:lang w:val="ru-RU"/>
              </w:rPr>
            </w:pPr>
            <w:r>
              <w:rPr>
                <w:lang w:val="ru-RU"/>
              </w:rPr>
              <w:t>NGFW (UserGate, ViPNet)</w:t>
            </w:r>
          </w:p>
        </w:tc>
      </w:tr>
      <w:tr>
        <w:trPr/>
        <w:tc>
          <w:tcPr>
            <w:tcW w:w="2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Уровень модели OSI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Транспортный / Прикладной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Сетевой (L3)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Сетевой (L3)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Прикладной (L7)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L3-L7</w:t>
            </w:r>
          </w:p>
        </w:tc>
      </w:tr>
      <w:tr>
        <w:trPr/>
        <w:tc>
          <w:tcPr>
            <w:tcW w:w="2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Основное назначение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Защита веб-трафика клиент-сервер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Простое высокопроизводительное туннелирование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Универсальное туннелирование и site-to-site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Взаимная аутентификация и шифрование сервисов в K8s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Защита периметра, межсетевое экранирование, IPS/IDS, VPN</w:t>
            </w:r>
          </w:p>
        </w:tc>
      </w:tr>
      <w:tr>
        <w:trPr/>
        <w:tc>
          <w:tcPr>
            <w:tcW w:w="2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Криптостойкость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AES-256-GCM, ChaCha20-Poly1305, ECDHE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ChaCha20-Poly1305, Curve25519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AES-256-GCM, IKEv2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Автоматическая ротация сертификатов, AES-GCM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Зависит от реализации VPN (обычно IPsec, OpenVPN)</w:t>
            </w:r>
          </w:p>
        </w:tc>
      </w:tr>
      <w:tr>
        <w:trPr/>
        <w:tc>
          <w:tcPr>
            <w:tcW w:w="2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Производительность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Небольшие накладные расходы на CPU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Очень высокая, минимальные задержки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Средняя, может требовать аппаратного ускорения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Доп. задержка из-за sidecar-прокси (Envoy)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Высокая (специализированное железо/ПО)</w:t>
            </w:r>
          </w:p>
        </w:tc>
      </w:tr>
      <w:tr>
        <w:trPr/>
        <w:tc>
          <w:tcPr>
            <w:tcW w:w="2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Удобство управления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Простота (настройка веб-сервера)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Простота (конфигурация в несколько строк)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Сложность (настройка политик IKE, маршрутизации)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Высокое (декларативная конфигурация, интеграция с K8s)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Наличие единой консоли, централизованный аудит</w:t>
            </w:r>
          </w:p>
        </w:tc>
      </w:tr>
      <w:tr>
        <w:trPr/>
        <w:tc>
          <w:tcPr>
            <w:tcW w:w="247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Сертификация ФСТЭК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СКЗИ класса КС1/КС2 в составе ПО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Не сертифицирован как самостоятельное СКЗИ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Сертифицирован в составе СКЗИ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Не применимо (инфраструктурный слой)</w:t>
            </w:r>
          </w:p>
        </w:tc>
        <w:tc>
          <w:tcPr>
            <w:tcW w:w="24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>
                <w:lang w:val="ru-RU"/>
              </w:rPr>
            </w:pPr>
            <w:r>
              <w:rPr>
                <w:lang w:val="ru-RU"/>
              </w:rPr>
              <w:t>Полная сертификация всего устройства</w:t>
            </w:r>
          </w:p>
        </w:tc>
      </w:tr>
    </w:tbl>
    <w:p>
      <w:pPr>
        <w:pStyle w:val="BodyText"/>
        <w:rPr>
          <w:lang w:val="ru-RU"/>
        </w:rPr>
        <w:sectPr>
          <w:type w:val="nextPage"/>
          <w:pgSz w:orient="landscape" w:w="16838" w:h="11906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  <w:r>
        <w:rPr>
          <w:lang w:val="ru-RU"/>
        </w:rPr>
      </w:r>
    </w:p>
    <w:p>
      <w:pPr>
        <w:pStyle w:val="Heading2"/>
        <w:numPr>
          <w:ilvl w:val="1"/>
          <w:numId w:val="2"/>
        </w:numPr>
        <w:ind w:firstLine="709" w:left="0"/>
        <w:rPr>
          <w:lang w:val="ru-RU"/>
        </w:rPr>
      </w:pPr>
      <w:r>
        <w:rPr>
          <w:lang w:val="ru-RU"/>
        </w:rPr>
        <w:t>4. Выбор и обоснование комплекса средств защиты</w:t>
      </w:r>
    </w:p>
    <w:p>
      <w:pPr>
        <w:pStyle w:val="BodyText"/>
        <w:ind w:firstLine="709" w:left="0"/>
        <w:rPr>
          <w:lang w:val="ru-RU"/>
        </w:rPr>
      </w:pPr>
      <w:r>
        <w:rPr>
          <w:lang w:val="ru-RU"/>
        </w:rPr>
        <w:t>На основе архитектуры проектируемой АСУ и сравнительного анализа, для обеспечения безопасности передачи информации предлагается эшелонированный подход, включающий следующие средства: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TLS 1.3 / HTTPS – основной протокол защиты взаимодействия пользователей с веб-интерфейсом системы через Интернет. Обеспечивает конфиденциальность и целостность сессии, предотвращает перехват и MitM-атаки. SSL-терминация выполняется на Nginx-балансировщике, согласно выбранной архитектуре.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Межсетевой экран нового поколения с функциями VPN – выбран в качестве аппаратно-программной платформы для защиты периметра ЦОД. Обеспечивает:</w:t>
      </w:r>
    </w:p>
    <w:p>
      <w:pPr>
        <w:pStyle w:val="BodyText"/>
        <w:numPr>
          <w:ilvl w:val="1"/>
          <w:numId w:val="4"/>
        </w:numPr>
        <w:rPr>
          <w:lang w:val="ru-RU"/>
        </w:rPr>
      </w:pPr>
      <w:r>
        <w:rPr>
          <w:lang w:val="ru-RU"/>
        </w:rPr>
        <w:t>фильтрацию входящего и исходящего трафика (Firewall);</w:t>
      </w:r>
    </w:p>
    <w:p>
      <w:pPr>
        <w:pStyle w:val="BodyText"/>
        <w:numPr>
          <w:ilvl w:val="1"/>
          <w:numId w:val="4"/>
        </w:numPr>
        <w:rPr>
          <w:lang w:val="ru-RU"/>
        </w:rPr>
      </w:pPr>
      <w:r>
        <w:rPr>
          <w:lang w:val="ru-RU"/>
        </w:rPr>
        <w:t>обнаружение и предотвращение сетевых атак (IPS/IDS);</w:t>
      </w:r>
    </w:p>
    <w:p>
      <w:pPr>
        <w:pStyle w:val="BodyText"/>
        <w:numPr>
          <w:ilvl w:val="1"/>
          <w:numId w:val="4"/>
        </w:numPr>
        <w:rPr>
          <w:lang w:val="ru-RU"/>
        </w:rPr>
      </w:pPr>
      <w:r>
        <w:rPr>
          <w:lang w:val="ru-RU"/>
        </w:rPr>
        <w:t>организацию защищённого удалённого доступа (VPN) для администратора нейросети и контент-менеджеров по протоколу IPsec или ViPNet-туннелю, что сертифицировано ФСТЭК и удовлетворяет требованиям по защите ПДн.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Istio Service Mesh (mTLS) – для защиты межсервисного трафика внутри кластера Kubernetes. Принудительное использование mutual TLS гарантирует, что все вызовы между модулями FastAPI, NLP-сервисом и Elasticsearch шифруются, а сервисы взаимно аутентифицируются, что полностью нейтрализует угрозу типа «Восток-Запад» и предотвращает несанкционированный доступ к базам данных в обход API.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WireGuard – легковесный VPN для быстрого и безопасного соединения с сервером резервного копирования или внешним хранилищем данных (S3), если они территориально удалены.</w:t>
      </w:r>
    </w:p>
    <w:p>
      <w:pPr>
        <w:pStyle w:val="BodyText"/>
        <w:numPr>
          <w:ilvl w:val="0"/>
          <w:numId w:val="4"/>
        </w:numPr>
        <w:rPr>
          <w:lang w:val="ru-RU"/>
        </w:rPr>
      </w:pPr>
      <w:r>
        <w:rPr>
          <w:lang w:val="ru-RU"/>
        </w:rPr>
        <w:t>Протокол SSHv2 – для защищённого консольного администрирования серверных операционных систем, используемый только из изолированного сегмента управления.</w:t>
      </w:r>
    </w:p>
    <w:p>
      <w:pPr>
        <w:pStyle w:val="Heading2"/>
        <w:numPr>
          <w:ilvl w:val="1"/>
          <w:numId w:val="2"/>
        </w:numPr>
        <w:ind w:left="0"/>
        <w:rPr>
          <w:lang w:val="ru-RU"/>
        </w:rPr>
      </w:pPr>
      <w:r>
        <w:rPr>
          <w:lang w:val="ru-RU"/>
        </w:rPr>
        <w:t>5. Описание возможностей выбранных средств с учётом угроз</w:t>
      </w:r>
    </w:p>
    <w:p>
      <w:pPr>
        <w:pStyle w:val="Heading3"/>
        <w:rPr>
          <w:lang w:val="ru-RU"/>
        </w:rPr>
      </w:pPr>
      <w:r>
        <w:rPr>
          <w:lang w:val="ru-RU"/>
        </w:rPr>
        <w:t>5.1. TLS 1.3 / HTTPS</w:t>
      </w:r>
    </w:p>
    <w:p>
      <w:pPr>
        <w:pStyle w:val="BodyText"/>
        <w:rPr>
          <w:lang w:val="ru-RU"/>
        </w:rPr>
      </w:pPr>
      <w:r>
        <w:rPr>
          <w:lang w:val="ru-RU"/>
        </w:rPr>
        <w:t>Нейтрализуемая угроза: пассивный перехват, MitM.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Возможности: </w:t>
      </w:r>
      <w:r>
        <w:rPr>
          <w:lang w:val="ru-RU"/>
        </w:rPr>
        <w:t>ш</w:t>
      </w:r>
      <w:r>
        <w:rPr>
          <w:lang w:val="ru-RU"/>
        </w:rPr>
        <w:t xml:space="preserve">ифрование всего трафика между браузером пользователя и точкой входа; </w:t>
      </w:r>
      <w:r>
        <w:rPr>
          <w:lang w:val="ru-RU"/>
        </w:rPr>
        <w:t>и</w:t>
      </w:r>
      <w:r>
        <w:rPr>
          <w:lang w:val="ru-RU"/>
        </w:rPr>
        <w:t xml:space="preserve">спользование стойких шифронаборов, эфемерных ключей Диффи-Хеллмана для обеспечения прямой секретности; </w:t>
      </w:r>
      <w:r>
        <w:rPr>
          <w:lang w:val="ru-RU"/>
        </w:rPr>
        <w:t>п</w:t>
      </w:r>
      <w:r>
        <w:rPr>
          <w:lang w:val="ru-RU"/>
        </w:rPr>
        <w:t>рименение сертификатов, выпущенных доверенным центром, предотвращает подмену сервера.</w:t>
      </w:r>
    </w:p>
    <w:p>
      <w:pPr>
        <w:pStyle w:val="Heading3"/>
        <w:rPr>
          <w:lang w:val="ru-RU"/>
        </w:rPr>
      </w:pPr>
      <w:r>
        <w:rPr>
          <w:lang w:val="ru-RU"/>
        </w:rPr>
        <w:t>5.2. NGFW (ViPNet Coordinator HW)</w:t>
      </w:r>
    </w:p>
    <w:p>
      <w:pPr>
        <w:pStyle w:val="BodyText"/>
        <w:rPr>
          <w:lang w:val="ru-RU"/>
        </w:rPr>
      </w:pPr>
      <w:r>
        <w:rPr>
          <w:lang w:val="ru-RU"/>
        </w:rPr>
        <w:t>Нейтрализуемая угроза: сетевые атаки, сканирование портов, несанкционированный доступ извне, утечка данных при администрировании.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Возможности: осуществляет глубокий анализ пакетов, блокирует попытки эксплуатации уязвимостей на периметре; </w:t>
      </w:r>
      <w:r>
        <w:rPr>
          <w:lang w:val="ru-RU"/>
        </w:rPr>
        <w:t>с</w:t>
      </w:r>
      <w:r>
        <w:rPr>
          <w:lang w:val="ru-RU"/>
        </w:rPr>
        <w:t xml:space="preserve">оздаёт криптографически защищённый туннель между рабочей станцией администратора и внутренней сетью ЦОД, обеспечивая конфиденциальность и аутентификацию управляющих команд; </w:t>
      </w:r>
      <w:r>
        <w:rPr>
          <w:lang w:val="ru-RU"/>
        </w:rPr>
        <w:t>в</w:t>
      </w:r>
      <w:r>
        <w:rPr>
          <w:lang w:val="ru-RU"/>
        </w:rPr>
        <w:t>едёт централизованный лог событий безопасности, служит точкой аудита.</w:t>
      </w:r>
    </w:p>
    <w:p>
      <w:pPr>
        <w:pStyle w:val="Heading3"/>
        <w:rPr>
          <w:lang w:val="ru-RU"/>
        </w:rPr>
      </w:pPr>
      <w:r>
        <w:rPr>
          <w:lang w:val="ru-RU"/>
        </w:rPr>
        <w:t>5.3. Istio Service Mesh (mTLS)</w:t>
      </w:r>
    </w:p>
    <w:p>
      <w:pPr>
        <w:pStyle w:val="BodyText"/>
        <w:rPr>
          <w:lang w:val="ru-RU"/>
        </w:rPr>
      </w:pPr>
      <w:r>
        <w:rPr>
          <w:lang w:val="ru-RU"/>
        </w:rPr>
        <w:t>Нейтрализуемая угроза: несанкционированный доступ к внутренним сервисам, подмена сервиса, прослушивание внутреннего трафика.</w:t>
      </w:r>
    </w:p>
    <w:p>
      <w:pPr>
        <w:pStyle w:val="BodyText"/>
        <w:rPr>
          <w:lang w:val="ru-RU"/>
        </w:rPr>
      </w:pPr>
      <w:r>
        <w:rPr>
          <w:lang w:val="ru-RU"/>
        </w:rPr>
        <w:t xml:space="preserve">Возможности: автоматически внедряет sidecar-прокси к каждому поду, который прозрачно шифрует весь TCP-трафик между микросервисами; </w:t>
      </w:r>
      <w:r>
        <w:rPr>
          <w:lang w:val="ru-RU"/>
        </w:rPr>
        <w:t>и</w:t>
      </w:r>
      <w:r>
        <w:rPr>
          <w:lang w:val="ru-RU"/>
        </w:rPr>
        <w:t xml:space="preserve">спользует собственный центр сертификации (Citadel) для выдачи и ротации краткоживущих сертификатов X.509 каждому сервису; </w:t>
      </w:r>
      <w:r>
        <w:rPr>
          <w:lang w:val="ru-RU"/>
        </w:rPr>
        <w:t>п</w:t>
      </w:r>
      <w:r>
        <w:rPr>
          <w:lang w:val="ru-RU"/>
        </w:rPr>
        <w:t>олитики авторизации позволяют ограничить, например, прямой доступ к PostgreSQL только от сервиса авторизации, блокируя любые другие соединения, даже изнутри кластера.</w:t>
      </w:r>
    </w:p>
    <w:p>
      <w:pPr>
        <w:pStyle w:val="Heading3"/>
        <w:rPr/>
      </w:pPr>
      <w:r>
        <w:rPr/>
        <w:t>5.4. WireGuard</w:t>
      </w:r>
    </w:p>
    <w:p>
      <w:pPr>
        <w:pStyle w:val="BodyText"/>
        <w:rPr>
          <w:lang w:val="ru-RU"/>
        </w:rPr>
      </w:pPr>
      <w:r>
        <w:rPr>
          <w:lang w:val="ru-RU"/>
        </w:rPr>
        <w:t>Нейтрализуемая угроза: перехват резервных копий или трафика синхронизации между ЦОД.</w:t>
      </w:r>
    </w:p>
    <w:p>
      <w:pPr>
        <w:pStyle w:val="BodyText"/>
        <w:rPr>
          <w:lang w:val="ru-RU"/>
        </w:rPr>
      </w:pPr>
      <w:r>
        <w:rPr>
          <w:lang w:val="ru-RU"/>
        </w:rPr>
        <w:t>Возможности: обеспечивает высокопроизводительное шифрованное соединение точка-точка с аутентификацией на основе открытых ключей; простота конфигурации и минимальная поверхность атаки благодаря малому объёму кода.</w:t>
      </w:r>
    </w:p>
    <w:p>
      <w:pPr>
        <w:pStyle w:val="BodyTex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964" w:hanging="25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  <w:rPr/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1247" w:hanging="255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Title"/>
    <w:next w:val="BodyText"/>
    <w:qFormat/>
    <w:pPr>
      <w:numPr>
        <w:ilvl w:val="0"/>
        <w:numId w:val="0"/>
      </w:numPr>
      <w:suppressLineNumbers/>
      <w:snapToGrid w:val="false"/>
      <w:spacing w:lineRule="auto" w:line="360" w:before="0" w:after="0"/>
      <w:ind w:firstLine="709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user" w:customStyle="1">
    <w:name w:val="Символ нумерации (user)"/>
    <w:qFormat/>
    <w:rPr/>
  </w:style>
  <w:style w:type="character" w:styleId="Style12" w:customStyle="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Style13" w:customStyle="1">
    <w:name w:val="Символ нумераци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5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semiHidden/>
    <w:unhideWhenUsed/>
    <w:rsid w:val="00845a09"/>
    <w:pPr>
      <w:keepNext w:val="false"/>
      <w:widowControl/>
      <w:spacing w:lineRule="auto" w:line="360"/>
      <w:ind w:firstLine="709" w:left="0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6" w:customStyle="1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user4" w:customStyle="1">
    <w:name w:val="Рисунок (user)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7" w:customStyle="1">
    <w:name w:val="Содержимое врезки"/>
    <w:basedOn w:val="Normal"/>
    <w:qFormat/>
    <w:pPr/>
    <w:rPr/>
  </w:style>
  <w:style w:type="paragraph" w:styleId="Style18" w:customStyle="1">
    <w:name w:val="Рисунок"/>
    <w:basedOn w:val="Caption"/>
    <w:qFormat/>
    <w:pPr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Таблица (user)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Style19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Style21" w:customStyle="1">
    <w:name w:val="Таблица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2" w:customStyle="1">
    <w:name w:val="Фотография"/>
    <w:basedOn w:val="Normal"/>
    <w:next w:val="Style28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3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4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5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6" w:customStyle="1">
    <w:name w:val="Текст листинга"/>
    <w:basedOn w:val="user7"/>
    <w:qFormat/>
    <w:pPr/>
    <w:rPr>
      <w:rFonts w:ascii="Liberation Mono" w:hAnsi="Liberation Mono"/>
      <w:sz w:val="20"/>
    </w:rPr>
  </w:style>
  <w:style w:type="paragraph" w:styleId="Style27" w:customStyle="1">
    <w:name w:val="Фигура"/>
    <w:basedOn w:val="Caption"/>
    <w:qFormat/>
    <w:pPr/>
    <w:rPr/>
  </w:style>
  <w:style w:type="paragraph" w:styleId="Style28" w:customStyle="1">
    <w:name w:val="Название фотографии"/>
    <w:basedOn w:val="Style22"/>
    <w:next w:val="BodyText"/>
    <w:qFormat/>
    <w:pPr>
      <w:spacing w:before="0" w:after="85"/>
    </w:pPr>
    <w:rPr/>
  </w:style>
  <w:style w:type="paragraph" w:styleId="user9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9" w:customStyle="1">
    <w:name w:val="Без списка"/>
    <w:uiPriority w:val="99"/>
    <w:semiHidden/>
    <w:unhideWhenUsed/>
    <w:qFormat/>
  </w:style>
  <w:style w:type="numbering" w:styleId="user10" w:customStyle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9822</TotalTime>
  <Application>LibreOffice/25.8.5.2$Windows_X86_64 LibreOffice_project/9c8b85f387cc00a89945a79c9e6239f32e450ac2</Application>
  <AppVersion>15.0000</AppVersion>
  <Pages>7</Pages>
  <Words>942</Words>
  <Characters>7205</Characters>
  <CharactersWithSpaces>8031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2026-05-03T18:02:24Z</cp:lastPrinted>
  <dcterms:modified xsi:type="dcterms:W3CDTF">2026-05-03T18:02:17Z</dcterms:modified>
  <cp:revision>126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