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tk-contributions"/>
      <w:r>
        <w:t xml:space="preserve">ITK contributions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Run-length matrices for texture analysis.</w:t>
      </w:r>
      <w:r>
        <w:t xml:space="preserve"> </w:t>
      </w:r>
      <w:r>
        <w:t xml:space="preserve">Texture analysis provides quantitative information describing properties in</w:t>
      </w:r>
      <w:r>
        <w:t xml:space="preserve"> </w:t>
      </w:r>
      <w:r>
        <w:t xml:space="preserve">images (e.g., lung CT) such as coarseness and smoothness. Two common quantification</w:t>
      </w:r>
      <w:r>
        <w:t xml:space="preserve"> </w:t>
      </w:r>
      <w:r>
        <w:t xml:space="preserve">schemes are based on co-occurence matrices and run-length matrices. Although the</w:t>
      </w:r>
      <w:r>
        <w:t xml:space="preserve"> </w:t>
      </w:r>
      <w:r>
        <w:t xml:space="preserve">co-occurence measures are readily available in the Insight Toolkit, there were no</w:t>
      </w:r>
      <w:r>
        <w:t xml:space="preserve"> </w:t>
      </w:r>
      <w:r>
        <w:t xml:space="preserve">such set of classes exists for run-length measures until our open-source implementation</w:t>
      </w:r>
      <w:r>
        <w:t xml:space="preserve"> </w:t>
      </w:r>
      <w:r>
        <w:t xml:space="preserve">[1]</w:t>
      </w:r>
      <w:r>
        <w:t xml:space="preserve">. These classes have since been integrated into the toolkit.</w:t>
      </w:r>
    </w:p>
    <w:p>
      <w:pPr>
        <w:numPr>
          <w:numId w:val="1001"/>
          <w:ilvl w:val="0"/>
        </w:numPr>
      </w:pPr>
      <w:r>
        <w:rPr>
          <w:b/>
        </w:rPr>
        <w:t xml:space="preserve">Class architecture for patch-based functionality.</w:t>
      </w:r>
      <w:r>
        <w:t xml:space="preserve"> </w:t>
      </w:r>
      <w:r>
        <w:t xml:space="preserve">In</w:t>
      </w:r>
      <w:r>
        <w:t xml:space="preserve"> </w:t>
      </w:r>
      <w:r>
        <w:t xml:space="preserve">[2]</w:t>
      </w:r>
      <w:r>
        <w:t xml:space="preserve"> </w:t>
      </w:r>
      <w:r>
        <w:t xml:space="preserve">and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we introduced a complete framework for ITK classes based on patch-based algorithmic processing.</w:t>
      </w:r>
      <w:r>
        <w:t xml:space="preserve"> </w:t>
      </w:r>
      <w:r>
        <w:t xml:space="preserve">This approach has demonstrated utility for processes such as denoising, joint label fusion, and</w:t>
      </w:r>
      <w:r>
        <w:t xml:space="preserve"> </w:t>
      </w:r>
      <w:r>
        <w:t xml:space="preserve">super-resolution. This joint label fusion work (originally discussed in</w:t>
      </w:r>
      <w:r>
        <w:t xml:space="preserve"> </w:t>
      </w:r>
      <w:r>
        <w:t xml:space="preserve">[4]</w:t>
      </w:r>
      <w:r>
        <w:t xml:space="preserve">) is the</w:t>
      </w:r>
      <w:r>
        <w:t xml:space="preserve"> </w:t>
      </w:r>
      <w:r>
        <w:t xml:space="preserve">basis for our lung and lobe estimation framework</w:t>
      </w:r>
      <w:r>
        <w:t xml:space="preserve"> </w:t>
      </w:r>
      <w:r>
        <w:t xml:space="preserve">[5]</w:t>
      </w:r>
      <w:r>
        <w:t xml:space="preserve">. Similarly, the denoising</w:t>
      </w:r>
      <w:r>
        <w:t xml:space="preserve"> </w:t>
      </w:r>
      <w:r>
        <w:t xml:space="preserve">algorithm</w:t>
      </w:r>
      <w:r>
        <w:t xml:space="preserve"> </w:t>
      </w:r>
      <w:r>
        <w:t xml:space="preserve">[6]</w:t>
      </w:r>
      <w:r>
        <w:t xml:space="preserve"> </w:t>
      </w:r>
      <w:r>
        <w:t xml:space="preserve">features prominently in our preprocessing pipelines.</w:t>
      </w:r>
    </w:p>
    <w:p>
      <w:pPr>
        <w:pStyle w:val="Heading3"/>
      </w:pPr>
      <w:bookmarkStart w:id="21" w:name="antsrnet"/>
      <w:r>
        <w:t xml:space="preserve">ANTsRNet</w:t>
      </w:r>
      <w:bookmarkEnd w:id="21"/>
    </w:p>
    <w:p>
      <w:pPr>
        <w:pStyle w:val="FirstParagraph"/>
      </w:pP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 within the medical imaging</w:t>
      </w:r>
      <w:r>
        <w:t xml:space="preserve"> </w:t>
      </w:r>
      <w:r>
        <w:t xml:space="preserve">research community. Basic image operations such as classification, object identification, and</w:t>
      </w:r>
      <w:r>
        <w:t xml:space="preserve"> </w:t>
      </w:r>
      <w:r>
        <w:t xml:space="preserve">segmentation (as well as more focused techniques) has significant potential for facilitating</w:t>
      </w:r>
      <w:r>
        <w:t xml:space="preserve"> </w:t>
      </w:r>
      <w:r>
        <w:t xml:space="preserve">basic medical research. In light of these new developments, and in order to better meet the</w:t>
      </w:r>
      <w:r>
        <w:t xml:space="preserve"> </w:t>
      </w:r>
      <w:r>
        <w:t xml:space="preserve">modern needs of the community, we have modified this specific aim for ITK-Lung to include</w:t>
      </w:r>
      <w:r>
        <w:t xml:space="preserve"> </w:t>
      </w:r>
      <w:r>
        <w:t xml:space="preserve">the implementation and dissemination of open-source deep learning architectures relevant to</w:t>
      </w:r>
      <w:r>
        <w:t xml:space="preserve"> </w:t>
      </w:r>
      <w:r>
        <w:t xml:space="preserve">the use cases of our partner investigators.</w:t>
      </w:r>
    </w:p>
    <w:p>
      <w:pPr>
        <w:pStyle w:val="BodyText"/>
      </w:pPr>
      <w:r>
        <w:t xml:space="preserve">Towards this end, we have created</w:t>
      </w:r>
      <w:r>
        <w:t xml:space="preserve"> </w:t>
      </w:r>
      <w:r>
        <w:rPr>
          <w:i/>
        </w:rPr>
        <w:t xml:space="preserve">ANTsRNet</w:t>
      </w:r>
      <w:r>
        <w:t xml:space="preserve">–a collection of well-known deep learning</w:t>
      </w:r>
      <w:r>
        <w:t xml:space="preserve"> </w:t>
      </w:r>
      <w:r>
        <w:t xml:space="preserve">architectures ported to the R language.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this work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 alike.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 As a result of these current efforts,</w:t>
      </w:r>
      <w:r>
        <w:t xml:space="preserve"> </w:t>
      </w:r>
      <w:r>
        <w:t xml:space="preserve">we were recently awarded a Titan XP GPU from the NVIDIA corporation for facilitating ongoing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Although much work remains to be completed, we have made significant progress. As noted below,</w:t>
      </w:r>
      <w:r>
        <w:t xml:space="preserve"> </w:t>
      </w: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addtion, we have made novel data augmentation strategies available to the user</w:t>
      </w:r>
      <w:r>
        <w:t xml:space="preserve"> </w:t>
      </w:r>
      <w:r>
        <w:t xml:space="preserve">and illustrated them with Keras-specific batch generators. These contributions are outlined</w:t>
      </w:r>
      <w:r>
        <w:t xml:space="preserve"> </w:t>
      </w:r>
      <w:r>
        <w:t xml:space="preserve">below.</w:t>
      </w:r>
    </w:p>
    <w:p>
      <w:pPr>
        <w:pStyle w:val="BodyText"/>
      </w:pPr>
      <w:r>
        <w:rPr>
          <w:b/>
        </w:rPr>
        <w:t xml:space="preserve">Image classification</w:t>
      </w:r>
    </w:p>
    <w:p>
      <w:pPr>
        <w:numPr>
          <w:numId w:val="1002"/>
          <w:ilvl w:val="0"/>
        </w:numPr>
      </w:pPr>
      <w:r>
        <w:rPr>
          <w:b/>
        </w:rPr>
        <w:t xml:space="preserve">AlexNet.</w:t>
      </w:r>
      <w:r>
        <w:t xml:space="preserve"> </w:t>
      </w:r>
      <w:r>
        <w:t xml:space="preserve">Although convolutional neural networks (CNNs) have been around since the</w:t>
      </w:r>
      <w:r>
        <w:t xml:space="preserve"> </w:t>
      </w:r>
      <w:r>
        <w:t xml:space="preserve">1970s, it was the ImageNet competition of 2012 and the superior results produced by the AlexNet</w:t>
      </w:r>
      <w:r>
        <w:t xml:space="preserve"> </w:t>
      </w:r>
      <w:r>
        <w:t xml:space="preserve">architecture</w:t>
      </w:r>
      <w:r>
        <w:t xml:space="preserve"> </w:t>
      </w:r>
      <w:r>
        <w:t xml:space="preserve">[7]</w:t>
      </w:r>
      <w:r>
        <w:t xml:space="preserve"> </w:t>
      </w:r>
      <w:r>
        <w:t xml:space="preserve">that spurred its subsequent popularity such that CNNs are now</w:t>
      </w:r>
      <w:r>
        <w:t xml:space="preserve"> </w:t>
      </w:r>
      <w:r>
        <w:t xml:space="preserve">the preferred approach to image-based neural networks. Although originally only 2-D, both</w:t>
      </w:r>
      <w:r>
        <w:t xml:space="preserve"> </w:t>
      </w:r>
      <w:r>
        <w:t xml:space="preserve">2-D and 3-D implementations have been implemented. Example test code employs the MNIST</w:t>
      </w:r>
      <w:r>
        <w:t xml:space="preserve"> </w:t>
      </w:r>
      <w:r>
        <w:t xml:space="preserve">data set for classifying handwritten digits directly downloadable within R.</w:t>
      </w:r>
    </w:p>
    <w:p>
      <w:pPr>
        <w:numPr>
          <w:numId w:val="1002"/>
          <w:ilvl w:val="0"/>
        </w:numPr>
      </w:pPr>
      <w:r>
        <w:rPr>
          <w:b/>
        </w:rPr>
        <w:t xml:space="preserve">Vgg16/Vgg19.</w:t>
      </w:r>
      <w:r>
        <w:t xml:space="preserve"> </w:t>
      </w:r>
      <w:r>
        <w:t xml:space="preserve">OxfordNet, or VGG, architectures</w:t>
      </w:r>
      <w:r>
        <w:t xml:space="preserve"> </w:t>
      </w:r>
      <w:r>
        <w:t xml:space="preserve">[8]</w:t>
      </w:r>
      <w:r>
        <w:t xml:space="preserve"> </w:t>
      </w:r>
      <w:r>
        <w:t xml:space="preserve">are much deeper than AlexNet and featured</w:t>
      </w:r>
      <w:r>
        <w:t xml:space="preserve"> </w:t>
      </w:r>
      <w:r>
        <w:t xml:space="preserve">well in the 2014 ImageNet challenge. We implemented popular 16- and 19-layer versions for</w:t>
      </w:r>
      <w:r>
        <w:t xml:space="preserve"> </w:t>
      </w:r>
      <w:r>
        <w:t xml:space="preserve">ANTsRNet. Given the simplicity and excellent performance, these form the classification component</w:t>
      </w:r>
      <w:r>
        <w:t xml:space="preserve"> </w:t>
      </w:r>
      <w:r>
        <w:t xml:space="preserve">of such object detection architectures as the multibox Single-Shot Detection (SSD) network</w:t>
      </w:r>
      <w:r>
        <w:t xml:space="preserve"> </w:t>
      </w:r>
      <w:r>
        <w:t xml:space="preserve">described below. Both 2-D and 3-D versions have been implemented. Example test code</w:t>
      </w:r>
      <w:r>
        <w:t xml:space="preserve"> </w:t>
      </w:r>
      <w:r>
        <w:t xml:space="preserve">employs the MNIST data set.</w:t>
      </w:r>
    </w:p>
    <w:p>
      <w:pPr>
        <w:numPr>
          <w:numId w:val="1002"/>
          <w:ilvl w:val="0"/>
        </w:numPr>
      </w:pPr>
      <w:r>
        <w:rPr>
          <w:b/>
        </w:rPr>
        <w:t xml:space="preserve">GoogLeNet.</w:t>
      </w:r>
      <w:r>
        <w:t xml:space="preserve"> </w:t>
      </w:r>
      <w:r>
        <w:t xml:space="preserve">GoogLeNet, or Inception (version v3)</w:t>
      </w:r>
      <w:r>
        <w:t xml:space="preserve"> </w:t>
      </w:r>
      <w:r>
        <w:t xml:space="preserve">[9]</w:t>
      </w:r>
      <w:r>
        <w:t xml:space="preserve">, is a 22-layer network</w:t>
      </w:r>
      <w:r>
        <w:t xml:space="preserve"> </w:t>
      </w:r>
      <w:r>
        <w:t xml:space="preserve">characterized by</w:t>
      </w:r>
      <w:r>
        <w:t xml:space="preserve"> </w:t>
      </w:r>
      <w:r>
        <w:rPr>
          <w:i/>
        </w:rPr>
        <w:t xml:space="preserve">inception blocks</w:t>
      </w:r>
      <w:r>
        <w:t xml:space="preserve"> </w:t>
      </w:r>
      <w:r>
        <w:t xml:space="preserve">meant to reduce the number of parameters necessary to learn</w:t>
      </w:r>
      <w:r>
        <w:t xml:space="preserve"> </w:t>
      </w:r>
      <w:r>
        <w:t xml:space="preserve">the targeted function. The architecture prevents a straightforward 3-D implementation so only</w:t>
      </w:r>
      <w:r>
        <w:t xml:space="preserve"> </w:t>
      </w:r>
      <w:r>
        <w:t xml:space="preserve">a 2-D architecture is currently available. Example test code employs the MNIST data set.</w:t>
      </w:r>
    </w:p>
    <w:p>
      <w:pPr>
        <w:numPr>
          <w:numId w:val="1002"/>
          <w:ilvl w:val="0"/>
        </w:numPr>
      </w:pPr>
      <w:r>
        <w:rPr>
          <w:b/>
        </w:rPr>
        <w:t xml:space="preserve">ResNet/ResNeXt.</w:t>
      </w:r>
      <w:r>
        <w:t xml:space="preserve"> </w:t>
      </w:r>
      <w:r>
        <w:t xml:space="preserve">The original ResNet architecture</w:t>
      </w:r>
      <w:r>
        <w:t xml:space="preserve"> </w:t>
      </w:r>
      <w:r>
        <w:t xml:space="preserve">[10]</w:t>
      </w:r>
      <w:r>
        <w:t xml:space="preserve">, along with a variant known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ResNeXt</w:t>
      </w:r>
      <w:r>
        <w:t xml:space="preserve">[11]</w:t>
      </w:r>
      <w:r>
        <w:t xml:space="preserve">, is also included in ANTsRNet. ResNet, characterized by specialized blocks and</w:t>
      </w:r>
      <w:r>
        <w:t xml:space="preserve"> </w:t>
      </w:r>
      <w:r>
        <w:t xml:space="preserve">skip connections, won the ImageNet challenge in 2015. Both 2-D and 3-D versions have been</w:t>
      </w:r>
      <w:r>
        <w:t xml:space="preserve"> </w:t>
      </w:r>
      <w:r>
        <w:t xml:space="preserve">implemented. Example test code employs the MNIST data set.</w:t>
      </w:r>
    </w:p>
    <w:p>
      <w:pPr>
        <w:numPr>
          <w:numId w:val="1002"/>
          <w:ilvl w:val="0"/>
        </w:numPr>
      </w:pPr>
      <w:r>
        <w:rPr>
          <w:b/>
        </w:rPr>
        <w:t xml:space="preserve">DenseNet.</w:t>
      </w:r>
      <w:r>
        <w:t xml:space="preserve"> </w:t>
      </w:r>
      <w:r>
        <w:t xml:space="preserve">The DenseNet architecture</w:t>
      </w:r>
      <w:r>
        <w:t xml:space="preserve"> </w:t>
      </w:r>
      <w:r>
        <w:t xml:space="preserve">[12]</w:t>
      </w:r>
      <w:r>
        <w:t xml:space="preserve"> </w:t>
      </w:r>
      <w:r>
        <w:t xml:space="preserve">is based on the observation that performance is</w:t>
      </w:r>
      <w:r>
        <w:t xml:space="preserve"> </w:t>
      </w:r>
      <w:r>
        <w:t xml:space="preserve">typically enhanced with shorter connections between the layers and the input. This leads to</w:t>
      </w:r>
      <w:r>
        <w:t xml:space="preserve"> </w:t>
      </w:r>
      <w:r>
        <w:t xml:space="preserve">an architecture in which every layer is connected to every other layer substantially reducing</w:t>
      </w:r>
      <w:r>
        <w:t xml:space="preserve"> </w:t>
      </w:r>
      <w:r>
        <w:t xml:space="preserve">the number of parameters as well as other benefits. Both 2-D and 3-D versions have been</w:t>
      </w:r>
      <w:r>
        <w:t xml:space="preserve"> </w:t>
      </w:r>
      <w:r>
        <w:t xml:space="preserve">implemented.</w:t>
      </w:r>
    </w:p>
    <w:p>
      <w:pPr>
        <w:pStyle w:val="FirstParagraph"/>
      </w:pPr>
      <w:r>
        <w:rPr>
          <w:b/>
        </w:rPr>
        <w:t xml:space="preserve">Object detection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SSD7/SSD300/SSD512.</w:t>
      </w:r>
      <w:r>
        <w:t xml:space="preserve"> </w:t>
      </w:r>
      <w:r>
        <w:t xml:space="preserve">A common preprocssing step in many medical imaging tsks is the localization</w:t>
      </w:r>
      <w:r>
        <w:t xml:space="preserve"> </w:t>
      </w:r>
      <w:r>
        <w:t xml:space="preserve">of an object or region of interest. The Multibox Single-Shot Detection (SSD) algorithm is a</w:t>
      </w:r>
      <w:r>
        <w:t xml:space="preserve"> </w:t>
      </w:r>
      <w:r>
        <w:t xml:space="preserve">well-known architecture with good performance</w:t>
      </w:r>
      <w:r>
        <w:t xml:space="preserve"> </w:t>
      </w:r>
      <w:r>
        <w:t xml:space="preserve">[13]</w:t>
      </w:r>
      <w:r>
        <w:t xml:space="preserve">. We have implemented the original 2-D</w:t>
      </w:r>
      <w:r>
        <w:t xml:space="preserve"> </w:t>
      </w:r>
      <w:r>
        <w:t xml:space="preserve">‘</w:t>
      </w:r>
      <w:r>
        <w:t xml:space="preserve">300</w:t>
      </w:r>
      <w:r>
        <w:t xml:space="preserve">’</w:t>
      </w:r>
      <w:r>
        <w:t xml:space="preserve">- and</w:t>
      </w:r>
      <w:r>
        <w:t xml:space="preserve"> </w:t>
      </w:r>
      <w:r>
        <w:t xml:space="preserve">‘</w:t>
      </w:r>
      <w:r>
        <w:t xml:space="preserve">512</w:t>
      </w:r>
      <w:r>
        <w:t xml:space="preserve">’</w:t>
      </w:r>
      <w:r>
        <w:t xml:space="preserve">-style SSD networks in addition to their 3-D extensions. As these networks require significant</w:t>
      </w:r>
      <w:r>
        <w:t xml:space="preserve"> </w:t>
      </w:r>
      <w:r>
        <w:t xml:space="preserve">training for determining optimal weighting, we also implemented a smaller architecture known as SSD7</w:t>
      </w:r>
      <w:r>
        <w:t xml:space="preserve"> </w:t>
      </w:r>
      <w:r>
        <w:t xml:space="preserve">which does not have such training data requirements. We also extended this architecture to 3-D.</w:t>
      </w:r>
      <w:r>
        <w:t xml:space="preserve"> </w:t>
      </w:r>
      <w:r>
        <w:t xml:space="preserve">A self-contained 2-D example of labeled faces</w:t>
      </w:r>
      <w:r>
        <w:t xml:space="preserve"> </w:t>
      </w:r>
      <w:r>
        <w:t xml:space="preserve">demonstrates training and testing of the SSD7 architecture.</w:t>
      </w:r>
    </w:p>
    <w:p>
      <w:pPr>
        <w:pStyle w:val="FirstParagraph"/>
      </w:pPr>
      <w:r>
        <w:rPr>
          <w:b/>
        </w:rPr>
        <w:t xml:space="preserve">Image segmentation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U-Net/V-net.</w:t>
      </w:r>
      <w:r>
        <w:t xml:space="preserve"> </w:t>
      </w:r>
      <w:r>
        <w:t xml:space="preserve">Extending fully convolutional neural networks (fCNN) by including an upsampling</w:t>
      </w:r>
      <w:r>
        <w:t xml:space="preserve"> </w:t>
      </w:r>
      <w:r>
        <w:t xml:space="preserve">decoding path with skip connections linking corresponding encoding/decoding layers, the authors of</w:t>
      </w:r>
      <w:r>
        <w:t xml:space="preserve"> </w:t>
      </w:r>
      <w:r>
        <w:t xml:space="preserve">U-net</w:t>
      </w:r>
      <w:r>
        <w:t xml:space="preserve"> </w:t>
      </w:r>
      <w:r>
        <w:t xml:space="preserve">[14]</w:t>
      </w:r>
      <w:r>
        <w:t xml:space="preserve"> </w:t>
      </w:r>
      <w:r>
        <w:t xml:space="preserve">created a well-performing deep learning segmentation framework for 2-D images.</w:t>
      </w:r>
      <w:r>
        <w:t xml:space="preserve"> </w:t>
      </w:r>
      <w:r>
        <w:t xml:space="preserve">This was later extended to 3-D with a custom Dice loss function in</w:t>
      </w:r>
      <w:r>
        <w:t xml:space="preserve"> </w:t>
      </w:r>
      <w:r>
        <w:t xml:space="preserve">[15]</w:t>
      </w:r>
      <w:r>
        <w:t xml:space="preserve"> </w:t>
      </w:r>
      <w:r>
        <w:t xml:space="preserve">denoted as</w:t>
      </w:r>
      <w:r>
        <w:t xml:space="preserve"> </w:t>
      </w:r>
      <w:r>
        <w:t xml:space="preserve">V-net. Both 2-D and 3-D versions are implemented with a custom loss Dice function based on our</w:t>
      </w:r>
      <w:r>
        <w:t xml:space="preserve"> </w:t>
      </w:r>
      <w:r>
        <w:t xml:space="preserve">work in the Insight Toolkit</w:t>
      </w:r>
      <w:r>
        <w:t xml:space="preserve"> </w:t>
      </w:r>
      <w:r>
        <w:t xml:space="preserve">[16]</w:t>
      </w:r>
      <w:r>
        <w:t xml:space="preserve">. We have also created specialized decoding and encoding</w:t>
      </w:r>
      <w:r>
        <w:t xml:space="preserve"> </w:t>
      </w:r>
      <w:r>
        <w:t xml:space="preserve">utilities for translating between ANTs images and data representations necessary for Keras operations.</w:t>
      </w:r>
      <w:r>
        <w:t xml:space="preserve"> </w:t>
      </w:r>
      <w:r>
        <w:t xml:space="preserve">Examples include a left/right lung segmentation example which includes a demonstration of our</w:t>
      </w:r>
      <w:r>
        <w:t xml:space="preserve"> </w:t>
      </w:r>
      <w:r>
        <w:t xml:space="preserve">unique template-based data augmentation strategy (see below).</w:t>
      </w:r>
    </w:p>
    <w:p>
      <w:pPr>
        <w:pStyle w:val="FirstParagraph"/>
      </w:pPr>
      <w:r>
        <w:rPr>
          <w:b/>
        </w:rPr>
        <w:t xml:space="preserve">Template-based data augmentation</w:t>
      </w:r>
    </w:p>
    <w:p>
      <w:pPr>
        <w:pStyle w:val="BodyText"/>
      </w:pPr>
      <w:r>
        <w:t xml:space="preserve">In addition to these software contributions, a significant methodological contribution</w:t>
      </w:r>
      <w:r>
        <w:t xml:space="preserve"> </w:t>
      </w:r>
      <w:r>
        <w:t xml:space="preserve">we have made is the design of a template-based data augmentation strategy. The need</w:t>
      </w:r>
      <w:r>
        <w:t xml:space="preserve"> </w:t>
      </w:r>
      <w:r>
        <w:t xml:space="preserve">for large training data sets is a well-known limitation associated with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images, such data access is not always</w:t>
      </w:r>
      <w:r>
        <w:t xml:space="preserve"> </w:t>
      </w:r>
      <w:r>
        <w:t xml:space="preserve">is available and such is typically the case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employed. These include application of intensity transformations,</w:t>
      </w:r>
      <w:r>
        <w:t xml:space="preserve"> </w:t>
      </w:r>
      <w:r>
        <w:t xml:space="preserve">such as brightening and enhanced contrast, and simple spatial transformations,</w:t>
      </w:r>
      <w:r>
        <w:t xml:space="preserve"> </w:t>
      </w:r>
      <w:r>
        <w:t xml:space="preserve">such as arbitrary rotations and translations. Regarding the latter, such transformations</w:t>
      </w:r>
      <w:r>
        <w:t xml:space="preserve"> </w:t>
      </w:r>
      <w:r>
        <w:t xml:space="preserve">are not ideal as they might not reflect what is typically seen in medical images and</w:t>
      </w:r>
      <w:r>
        <w:t xml:space="preserve"> </w:t>
      </w:r>
      <w:r>
        <w:t xml:space="preserve">might not sufficiently sample the shape-space of the population currently being</w:t>
      </w:r>
      <w:r>
        <w:t xml:space="preserve"> </w:t>
      </w:r>
      <w:r>
        <w:t xml:space="preserve">studied.</w:t>
      </w:r>
    </w:p>
    <w:p>
      <w:pPr>
        <w:pStyle w:val="BodyText"/>
      </w:pPr>
      <w:r>
        <w:t xml:space="preserve">We currently use a template-based approach whereby image data sampled from the population</w:t>
      </w:r>
      <w:r>
        <w:t xml:space="preserve"> </w:t>
      </w:r>
      <w:r>
        <w:t xml:space="preserve">is used to construct a representative template that is optimal in terms of both shape and</w:t>
      </w:r>
      <w:r>
        <w:t xml:space="preserve"> </w:t>
      </w:r>
      <w:r>
        <w:t xml:space="preserve">intensity</w:t>
      </w:r>
      <w:r>
        <w:t xml:space="preserve"> </w:t>
      </w:r>
      <w:r>
        <w:t xml:space="preserve">[17]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br w:type="textWrapping"/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data is propagated to the space of every other individual training</w:t>
      </w:r>
      <w:r>
        <w:t xml:space="preserve"> </w:t>
      </w:r>
      <w:r>
        <w:t xml:space="preserve">data.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(cf Figure 1). A more complicated use case could 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could then</w:t>
      </w:r>
      <w:r>
        <w:t xml:space="preserve"> </w:t>
      </w:r>
      <w:r>
        <w:t xml:space="preserve">be 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22" w:name="references"/>
      <w:r>
        <w:t xml:space="preserve">References</w:t>
      </w:r>
      <w:bookmarkEnd w:id="22"/>
    </w:p>
    <w:bookmarkStart w:id="53" w:name="refs"/>
    <w:bookmarkStart w:id="23" w:name="ref-tustison2008"/>
    <w:p>
      <w:pPr>
        <w:pStyle w:val="Bibliography"/>
      </w:pPr>
      <w:r>
        <w:t xml:space="preserve">1. Tustison, N. and Gee, J. “</w:t>
      </w:r>
      <w:r>
        <w:rPr>
          <w:b/>
        </w:rPr>
        <w:t xml:space="preserve">Run-Length Matrices for Texture Analysis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(2008):</w:t>
      </w:r>
      <w:r>
        <w:t xml:space="preserve"> </w:t>
      </w:r>
    </w:p>
    <w:bookmarkEnd w:id="23"/>
    <w:bookmarkStart w:id="24" w:name="ref-tustison2017a"/>
    <w:p>
      <w:pPr>
        <w:pStyle w:val="Bibliography"/>
      </w:pPr>
      <w:r>
        <w:t xml:space="preserve">2. Tustison, N. and Manjon, J.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(2017):</w:t>
      </w:r>
      <w:r>
        <w:t xml:space="preserve"> </w:t>
      </w:r>
    </w:p>
    <w:bookmarkEnd w:id="24"/>
    <w:bookmarkStart w:id="25" w:name="ref-tustison2017b"/>
    <w:p>
      <w:pPr>
        <w:pStyle w:val="Bibliography"/>
      </w:pPr>
      <w:r>
        <w:t xml:space="preserve">3. Tustison, N., Avants, B., Wang, H., Xie, L., Coupe, P., Yushkevich, P., and Manjon, J. “</w:t>
      </w:r>
      <w:r>
        <w:rPr>
          <w:b/>
        </w:rPr>
        <w:t xml:space="preserve">A Patch-Based Framework for New Itk Functionality: Joint Fusion, Denoising, and Non-Local Super-Resolution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(2017):</w:t>
      </w:r>
      <w:r>
        <w:t xml:space="preserve"> </w:t>
      </w:r>
    </w:p>
    <w:bookmarkEnd w:id="25"/>
    <w:bookmarkStart w:id="27" w:name="ref-Wang:2013aa"/>
    <w:p>
      <w:pPr>
        <w:pStyle w:val="Bibliography"/>
      </w:pPr>
      <w:r>
        <w:t xml:space="preserve">4. Wang, H. and Yushkevich, P. A. “</w:t>
      </w:r>
      <w:r>
        <w:rPr>
          <w:b/>
        </w:rPr>
        <w:t xml:space="preserve">Multi-Atlas Segmentation with Joint Label Fusion and Corrective Learning-an Open Source Implementation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27. doi:</w:t>
      </w:r>
      <w:hyperlink r:id="rId26">
        <w:r>
          <w:rPr>
            <w:rStyle w:val="Hyperlink"/>
          </w:rPr>
          <w:t xml:space="preserve">10.3389/fninf.2013.00027</w:t>
        </w:r>
      </w:hyperlink>
    </w:p>
    <w:bookmarkEnd w:id="27"/>
    <w:bookmarkStart w:id="29" w:name="ref-Tustison:2016aa"/>
    <w:p>
      <w:pPr>
        <w:pStyle w:val="Bibliography"/>
      </w:pPr>
      <w:r>
        <w:t xml:space="preserve">5. Tustison, N. J., Qing, K., Wang, C., Altes, T. A., and Mugler, J. P., 3rd. “</w:t>
      </w:r>
      <w:r>
        <w:rPr>
          <w:b/>
        </w:rPr>
        <w:t xml:space="preserve">Atlas-Based Estimation of Lung and Lobar Anatomy in Proton Mri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76, no. 1 (2016): 315–20. doi:</w:t>
      </w:r>
      <w:hyperlink r:id="rId28">
        <w:r>
          <w:rPr>
            <w:rStyle w:val="Hyperlink"/>
          </w:rPr>
          <w:t xml:space="preserve">10.1002/mrm.25824</w:t>
        </w:r>
      </w:hyperlink>
    </w:p>
    <w:bookmarkEnd w:id="29"/>
    <w:bookmarkStart w:id="31" w:name="ref-Manjon:2010aa"/>
    <w:p>
      <w:pPr>
        <w:pStyle w:val="Bibliography"/>
      </w:pPr>
      <w:r>
        <w:t xml:space="preserve">6.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30">
        <w:r>
          <w:rPr>
            <w:rStyle w:val="Hyperlink"/>
          </w:rPr>
          <w:t xml:space="preserve">10.1002/jmri.22003</w:t>
        </w:r>
      </w:hyperlink>
    </w:p>
    <w:bookmarkEnd w:id="31"/>
    <w:bookmarkStart w:id="33" w:name="ref-Krizhevsky:2012"/>
    <w:p>
      <w:pPr>
        <w:pStyle w:val="Bibliography"/>
      </w:pPr>
      <w:r>
        <w:t xml:space="preserve">7.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32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33"/>
    <w:bookmarkStart w:id="35" w:name="ref-Simonyan:2014"/>
    <w:p>
      <w:pPr>
        <w:pStyle w:val="Bibliography"/>
      </w:pPr>
      <w:r>
        <w:t xml:space="preserve">8.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34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35"/>
    <w:bookmarkStart w:id="37" w:name="ref-Szegedy:2015"/>
    <w:p>
      <w:pPr>
        <w:pStyle w:val="Bibliography"/>
      </w:pPr>
      <w:r>
        <w:t xml:space="preserve">9.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36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37"/>
    <w:bookmarkStart w:id="39" w:name="ref-He:2015"/>
    <w:p>
      <w:pPr>
        <w:pStyle w:val="Bibliography"/>
      </w:pPr>
      <w:r>
        <w:t xml:space="preserve">10.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38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39"/>
    <w:bookmarkStart w:id="41" w:name="ref-Xie:2016"/>
    <w:p>
      <w:pPr>
        <w:pStyle w:val="Bibliography"/>
      </w:pPr>
      <w:r>
        <w:t xml:space="preserve">11.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40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41"/>
    <w:bookmarkStart w:id="43" w:name="ref-Huang:2016"/>
    <w:p>
      <w:pPr>
        <w:pStyle w:val="Bibliography"/>
      </w:pPr>
      <w:r>
        <w:t xml:space="preserve">12.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42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43"/>
    <w:bookmarkStart w:id="45" w:name="ref-Liu:2015"/>
    <w:p>
      <w:pPr>
        <w:pStyle w:val="Bibliography"/>
      </w:pPr>
      <w:r>
        <w:t xml:space="preserve">13.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44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45"/>
    <w:bookmarkStart w:id="47" w:name="ref-Ronneberger:2015"/>
    <w:p>
      <w:pPr>
        <w:pStyle w:val="Bibliography"/>
      </w:pPr>
      <w:r>
        <w:t xml:space="preserve">14.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abs/1505.04597, (2015): Available at</w:t>
      </w:r>
      <w:r>
        <w:t xml:space="preserve"> </w:t>
      </w:r>
      <w:hyperlink r:id="rId46">
        <w:r>
          <w:rPr>
            <w:rStyle w:val="Hyperlink"/>
          </w:rPr>
          <w:t xml:space="preserve">http://arxiv.org/abs/1505.04597</w:t>
        </w:r>
      </w:hyperlink>
      <w:r>
        <w:t xml:space="preserve"> </w:t>
      </w:r>
    </w:p>
    <w:bookmarkEnd w:id="47"/>
    <w:bookmarkStart w:id="49" w:name="ref-Milletari:2016"/>
    <w:p>
      <w:pPr>
        <w:pStyle w:val="Bibliography"/>
      </w:pPr>
      <w:r>
        <w:t xml:space="preserve">15.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48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49"/>
    <w:bookmarkStart w:id="50" w:name="ref-tustison2009"/>
    <w:p>
      <w:pPr>
        <w:pStyle w:val="Bibliography"/>
      </w:pPr>
      <w:r>
        <w:t xml:space="preserve">16. Tustison, N. J. and Gee, J. C. “</w:t>
      </w:r>
      <w:r>
        <w:rPr>
          <w:b/>
        </w:rPr>
        <w:t xml:space="preserve">Introducing Dice, Jaccard, and Other Label Overlap Measures to ITK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(2009):</w:t>
      </w:r>
      <w:r>
        <w:t xml:space="preserve"> </w:t>
      </w:r>
    </w:p>
    <w:bookmarkEnd w:id="50"/>
    <w:bookmarkStart w:id="52" w:name="ref-Avants:2010aa"/>
    <w:p>
      <w:pPr>
        <w:pStyle w:val="Bibliography"/>
      </w:pPr>
      <w:r>
        <w:t xml:space="preserve">17.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51">
        <w:r>
          <w:rPr>
            <w:rStyle w:val="Hyperlink"/>
          </w:rPr>
          <w:t xml:space="preserve">10.1016/j.neuroimage.2009.09.062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1409.1556" TargetMode="External" /><Relationship Type="http://schemas.openxmlformats.org/officeDocument/2006/relationships/hyperlink" Id="rId46" Target="http://arxiv.org/abs/1505.04597" TargetMode="External" /><Relationship Type="http://schemas.openxmlformats.org/officeDocument/2006/relationships/hyperlink" Id="rId36" Target="http://arxiv.org/abs/1512.00567" TargetMode="External" /><Relationship Type="http://schemas.openxmlformats.org/officeDocument/2006/relationships/hyperlink" Id="rId44" Target="http://arxiv.org/abs/1512.02325" TargetMode="External" /><Relationship Type="http://schemas.openxmlformats.org/officeDocument/2006/relationships/hyperlink" Id="rId38" Target="http://arxiv.org/abs/1512.03385" TargetMode="External" /><Relationship Type="http://schemas.openxmlformats.org/officeDocument/2006/relationships/hyperlink" Id="rId48" Target="http://arxiv.org/abs/1606.04797" TargetMode="External" /><Relationship Type="http://schemas.openxmlformats.org/officeDocument/2006/relationships/hyperlink" Id="rId42" Target="http://arxiv.org/abs/1608.06993" TargetMode="External" /><Relationship Type="http://schemas.openxmlformats.org/officeDocument/2006/relationships/hyperlink" Id="rId40" Target="http://arxiv.org/abs/1611.05431" TargetMode="External" /><Relationship Type="http://schemas.openxmlformats.org/officeDocument/2006/relationships/hyperlink" Id="rId32" Target="http://dl.acm.org/citation.cfm?id=2999134.2999257" TargetMode="External" /><Relationship Type="http://schemas.openxmlformats.org/officeDocument/2006/relationships/hyperlink" Id="rId30" Target="https://doi.org/10.1002/jmri.22003" TargetMode="External" /><Relationship Type="http://schemas.openxmlformats.org/officeDocument/2006/relationships/hyperlink" Id="rId28" Target="https://doi.org/10.1002/mrm.25824" TargetMode="External" /><Relationship Type="http://schemas.openxmlformats.org/officeDocument/2006/relationships/hyperlink" Id="rId51" Target="https://doi.org/10.1016/j.neuroimage.2009.09.062" TargetMode="External" /><Relationship Type="http://schemas.openxmlformats.org/officeDocument/2006/relationships/hyperlink" Id="rId26" Target="https://doi.org/10.3389/fninf.2013.00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rxiv.org/abs/1409.1556" TargetMode="External" /><Relationship Type="http://schemas.openxmlformats.org/officeDocument/2006/relationships/hyperlink" Id="rId46" Target="http://arxiv.org/abs/1505.04597" TargetMode="External" /><Relationship Type="http://schemas.openxmlformats.org/officeDocument/2006/relationships/hyperlink" Id="rId36" Target="http://arxiv.org/abs/1512.00567" TargetMode="External" /><Relationship Type="http://schemas.openxmlformats.org/officeDocument/2006/relationships/hyperlink" Id="rId44" Target="http://arxiv.org/abs/1512.02325" TargetMode="External" /><Relationship Type="http://schemas.openxmlformats.org/officeDocument/2006/relationships/hyperlink" Id="rId38" Target="http://arxiv.org/abs/1512.03385" TargetMode="External" /><Relationship Type="http://schemas.openxmlformats.org/officeDocument/2006/relationships/hyperlink" Id="rId48" Target="http://arxiv.org/abs/1606.04797" TargetMode="External" /><Relationship Type="http://schemas.openxmlformats.org/officeDocument/2006/relationships/hyperlink" Id="rId42" Target="http://arxiv.org/abs/1608.06993" TargetMode="External" /><Relationship Type="http://schemas.openxmlformats.org/officeDocument/2006/relationships/hyperlink" Id="rId40" Target="http://arxiv.org/abs/1611.05431" TargetMode="External" /><Relationship Type="http://schemas.openxmlformats.org/officeDocument/2006/relationships/hyperlink" Id="rId32" Target="http://dl.acm.org/citation.cfm?id=2999134.2999257" TargetMode="External" /><Relationship Type="http://schemas.openxmlformats.org/officeDocument/2006/relationships/hyperlink" Id="rId30" Target="https://doi.org/10.1002/jmri.22003" TargetMode="External" /><Relationship Type="http://schemas.openxmlformats.org/officeDocument/2006/relationships/hyperlink" Id="rId28" Target="https://doi.org/10.1002/mrm.25824" TargetMode="External" /><Relationship Type="http://schemas.openxmlformats.org/officeDocument/2006/relationships/hyperlink" Id="rId51" Target="https://doi.org/10.1016/j.neuroimage.2009.09.062" TargetMode="External" /><Relationship Type="http://schemas.openxmlformats.org/officeDocument/2006/relationships/hyperlink" Id="rId26" Target="https://doi.org/10.3389/fninf.2013.00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2018-04-10T19:25:38Z</dcterms:created>
  <dcterms:modified xsi:type="dcterms:W3CDTF">2018-04-10T19:25:38Z</dcterms:modified>
</cp:coreProperties>
</file>