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0DEB5" w14:textId="4C7ADD7F" w:rsidR="00CE7F37" w:rsidRDefault="00CE7F37" w:rsidP="00CE7F37">
      <w:pPr>
        <w:jc w:val="center"/>
        <w:rPr>
          <w:b/>
          <w:bCs/>
          <w:sz w:val="40"/>
          <w:szCs w:val="56"/>
          <w:u w:val="single"/>
        </w:rPr>
      </w:pPr>
      <w:r w:rsidRPr="000055E9">
        <w:rPr>
          <w:b/>
          <w:bCs/>
          <w:sz w:val="40"/>
          <w:szCs w:val="56"/>
          <w:u w:val="single"/>
        </w:rPr>
        <w:t>Summary</w:t>
      </w:r>
    </w:p>
    <w:p w14:paraId="26CE1F3F" w14:textId="77777777" w:rsidR="000055E9" w:rsidRPr="000055E9" w:rsidRDefault="000055E9" w:rsidP="000055E9">
      <w:pPr>
        <w:jc w:val="both"/>
        <w:rPr>
          <w:b/>
          <w:bCs/>
          <w:sz w:val="28"/>
          <w:szCs w:val="28"/>
        </w:rPr>
      </w:pPr>
      <w:r w:rsidRPr="000055E9">
        <w:rPr>
          <w:b/>
          <w:bCs/>
          <w:sz w:val="28"/>
          <w:szCs w:val="28"/>
        </w:rPr>
        <w:t>1. Font Family</w:t>
      </w:r>
    </w:p>
    <w:p w14:paraId="4C9170CE" w14:textId="6F7FB25D" w:rsidR="000055E9" w:rsidRPr="000055E9" w:rsidRDefault="000055E9" w:rsidP="000055E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Gemini</w:t>
      </w:r>
      <w:r w:rsidRPr="000055E9">
        <w:rPr>
          <w:sz w:val="28"/>
          <w:szCs w:val="28"/>
        </w:rPr>
        <w:t>:</w:t>
      </w:r>
    </w:p>
    <w:p w14:paraId="02A15C2A" w14:textId="77777777" w:rsidR="000055E9" w:rsidRPr="000055E9" w:rsidRDefault="000055E9" w:rsidP="000055E9">
      <w:pPr>
        <w:numPr>
          <w:ilvl w:val="1"/>
          <w:numId w:val="1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h1 uses Georgia, serif as the font family.</w:t>
      </w:r>
    </w:p>
    <w:p w14:paraId="03597C1F" w14:textId="77777777" w:rsidR="000055E9" w:rsidRPr="000055E9" w:rsidRDefault="000055E9" w:rsidP="000055E9">
      <w:pPr>
        <w:numPr>
          <w:ilvl w:val="1"/>
          <w:numId w:val="1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p uses Arial, sans-serif as the font family.</w:t>
      </w:r>
    </w:p>
    <w:p w14:paraId="1AFB61F8" w14:textId="30B359A0" w:rsidR="000055E9" w:rsidRPr="000055E9" w:rsidRDefault="000055E9" w:rsidP="000055E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0055E9">
        <w:rPr>
          <w:sz w:val="28"/>
          <w:szCs w:val="28"/>
        </w:rPr>
        <w:t>:</w:t>
      </w:r>
    </w:p>
    <w:p w14:paraId="38EA341D" w14:textId="77777777" w:rsidR="000055E9" w:rsidRPr="000055E9" w:rsidRDefault="000055E9" w:rsidP="000055E9">
      <w:pPr>
        <w:numPr>
          <w:ilvl w:val="1"/>
          <w:numId w:val="1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body uses Arial, sans-serif as the default font family for the entire document.</w:t>
      </w:r>
    </w:p>
    <w:p w14:paraId="0BDDFCA4" w14:textId="77777777" w:rsidR="000055E9" w:rsidRPr="000055E9" w:rsidRDefault="000055E9" w:rsidP="000055E9">
      <w:pPr>
        <w:numPr>
          <w:ilvl w:val="1"/>
          <w:numId w:val="1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h1 uses Arial, sans-serif as well for consistency.</w:t>
      </w:r>
    </w:p>
    <w:p w14:paraId="5E31CEEE" w14:textId="77777777" w:rsidR="000055E9" w:rsidRPr="000055E9" w:rsidRDefault="000055E9" w:rsidP="000055E9">
      <w:pPr>
        <w:jc w:val="both"/>
        <w:rPr>
          <w:b/>
          <w:bCs/>
          <w:sz w:val="28"/>
          <w:szCs w:val="28"/>
        </w:rPr>
      </w:pPr>
      <w:r w:rsidRPr="000055E9">
        <w:rPr>
          <w:b/>
          <w:bCs/>
          <w:sz w:val="28"/>
          <w:szCs w:val="28"/>
        </w:rPr>
        <w:t>2. Font Size</w:t>
      </w:r>
    </w:p>
    <w:p w14:paraId="37DC78DF" w14:textId="5C073709" w:rsidR="000055E9" w:rsidRPr="000055E9" w:rsidRDefault="000055E9" w:rsidP="000055E9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Gemini</w:t>
      </w:r>
      <w:r w:rsidRPr="000055E9">
        <w:rPr>
          <w:sz w:val="28"/>
          <w:szCs w:val="28"/>
        </w:rPr>
        <w:t>:</w:t>
      </w:r>
    </w:p>
    <w:p w14:paraId="2015D8E2" w14:textId="77777777" w:rsidR="000055E9" w:rsidRPr="000055E9" w:rsidRDefault="000055E9" w:rsidP="000055E9">
      <w:pPr>
        <w:numPr>
          <w:ilvl w:val="1"/>
          <w:numId w:val="2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h1 is set to 36px.</w:t>
      </w:r>
    </w:p>
    <w:p w14:paraId="012E0FBA" w14:textId="77777777" w:rsidR="000055E9" w:rsidRPr="000055E9" w:rsidRDefault="000055E9" w:rsidP="000055E9">
      <w:pPr>
        <w:numPr>
          <w:ilvl w:val="1"/>
          <w:numId w:val="2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p is set to 18px.</w:t>
      </w:r>
    </w:p>
    <w:p w14:paraId="5F1DF9D5" w14:textId="5FE1B32A" w:rsidR="000055E9" w:rsidRPr="000055E9" w:rsidRDefault="000055E9" w:rsidP="000055E9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0055E9">
        <w:rPr>
          <w:sz w:val="28"/>
          <w:szCs w:val="28"/>
        </w:rPr>
        <w:t>:</w:t>
      </w:r>
    </w:p>
    <w:p w14:paraId="1C06411D" w14:textId="77777777" w:rsidR="000055E9" w:rsidRPr="000055E9" w:rsidRDefault="000055E9" w:rsidP="000055E9">
      <w:pPr>
        <w:numPr>
          <w:ilvl w:val="1"/>
          <w:numId w:val="2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h1 is set to 36px.</w:t>
      </w:r>
    </w:p>
    <w:p w14:paraId="36FCC795" w14:textId="77777777" w:rsidR="000055E9" w:rsidRPr="000055E9" w:rsidRDefault="000055E9" w:rsidP="000055E9">
      <w:pPr>
        <w:numPr>
          <w:ilvl w:val="1"/>
          <w:numId w:val="2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p is set to 16px, slightly smaller than your example, which is still readable.</w:t>
      </w:r>
    </w:p>
    <w:p w14:paraId="1A817500" w14:textId="77777777" w:rsidR="000055E9" w:rsidRPr="000055E9" w:rsidRDefault="000055E9" w:rsidP="000055E9">
      <w:pPr>
        <w:jc w:val="both"/>
        <w:rPr>
          <w:b/>
          <w:bCs/>
          <w:sz w:val="28"/>
          <w:szCs w:val="28"/>
        </w:rPr>
      </w:pPr>
      <w:r w:rsidRPr="000055E9">
        <w:rPr>
          <w:b/>
          <w:bCs/>
          <w:sz w:val="28"/>
          <w:szCs w:val="28"/>
        </w:rPr>
        <w:t>3. Text Alignment</w:t>
      </w:r>
    </w:p>
    <w:p w14:paraId="73723A9E" w14:textId="0413E43D" w:rsidR="000055E9" w:rsidRPr="000055E9" w:rsidRDefault="000055E9" w:rsidP="000055E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Gemini</w:t>
      </w:r>
      <w:r w:rsidRPr="000055E9">
        <w:rPr>
          <w:sz w:val="28"/>
          <w:szCs w:val="28"/>
        </w:rPr>
        <w:t>:</w:t>
      </w:r>
    </w:p>
    <w:p w14:paraId="003FB364" w14:textId="77777777" w:rsidR="000055E9" w:rsidRPr="000055E9" w:rsidRDefault="000055E9" w:rsidP="000055E9">
      <w:pPr>
        <w:numPr>
          <w:ilvl w:val="1"/>
          <w:numId w:val="3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h1 is centered.</w:t>
      </w:r>
    </w:p>
    <w:p w14:paraId="26D1BDB3" w14:textId="4CF8B1CE" w:rsidR="000055E9" w:rsidRPr="000055E9" w:rsidRDefault="000055E9" w:rsidP="000055E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0055E9">
        <w:rPr>
          <w:sz w:val="28"/>
          <w:szCs w:val="28"/>
        </w:rPr>
        <w:t>:</w:t>
      </w:r>
    </w:p>
    <w:p w14:paraId="5767429C" w14:textId="77777777" w:rsidR="000055E9" w:rsidRPr="000055E9" w:rsidRDefault="000055E9" w:rsidP="000055E9">
      <w:pPr>
        <w:numPr>
          <w:ilvl w:val="1"/>
          <w:numId w:val="3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h1 is also centered.</w:t>
      </w:r>
    </w:p>
    <w:p w14:paraId="2F7346F2" w14:textId="77777777" w:rsidR="000055E9" w:rsidRPr="000055E9" w:rsidRDefault="000055E9" w:rsidP="000055E9">
      <w:pPr>
        <w:numPr>
          <w:ilvl w:val="1"/>
          <w:numId w:val="3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Additionally, h2 is left-aligned, providing a structured hierarchy in the document.</w:t>
      </w:r>
    </w:p>
    <w:p w14:paraId="74757772" w14:textId="77777777" w:rsidR="000055E9" w:rsidRPr="000055E9" w:rsidRDefault="000055E9" w:rsidP="000055E9">
      <w:pPr>
        <w:jc w:val="both"/>
        <w:rPr>
          <w:b/>
          <w:bCs/>
          <w:sz w:val="28"/>
          <w:szCs w:val="28"/>
        </w:rPr>
      </w:pPr>
      <w:r w:rsidRPr="000055E9">
        <w:rPr>
          <w:b/>
          <w:bCs/>
          <w:sz w:val="28"/>
          <w:szCs w:val="28"/>
        </w:rPr>
        <w:t>4. Line Height</w:t>
      </w:r>
    </w:p>
    <w:p w14:paraId="59743FD5" w14:textId="77777777" w:rsidR="000055E9" w:rsidRPr="000055E9" w:rsidRDefault="000055E9" w:rsidP="000055E9">
      <w:pPr>
        <w:numPr>
          <w:ilvl w:val="0"/>
          <w:numId w:val="4"/>
        </w:numPr>
        <w:jc w:val="both"/>
        <w:rPr>
          <w:sz w:val="28"/>
          <w:szCs w:val="28"/>
        </w:rPr>
      </w:pPr>
      <w:r w:rsidRPr="000055E9">
        <w:rPr>
          <w:b/>
          <w:bCs/>
          <w:sz w:val="28"/>
          <w:szCs w:val="28"/>
        </w:rPr>
        <w:t>Your Example</w:t>
      </w:r>
      <w:r w:rsidRPr="000055E9">
        <w:rPr>
          <w:sz w:val="28"/>
          <w:szCs w:val="28"/>
        </w:rPr>
        <w:t>:</w:t>
      </w:r>
    </w:p>
    <w:p w14:paraId="5BC1AC1D" w14:textId="77777777" w:rsidR="000055E9" w:rsidRPr="000055E9" w:rsidRDefault="000055E9" w:rsidP="000055E9">
      <w:pPr>
        <w:numPr>
          <w:ilvl w:val="1"/>
          <w:numId w:val="4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p has a line height of 1.5.</w:t>
      </w:r>
    </w:p>
    <w:p w14:paraId="2FF4B74B" w14:textId="439BFE59" w:rsidR="000055E9" w:rsidRPr="000055E9" w:rsidRDefault="000055E9" w:rsidP="000055E9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0055E9">
        <w:rPr>
          <w:sz w:val="28"/>
          <w:szCs w:val="28"/>
        </w:rPr>
        <w:t>:</w:t>
      </w:r>
    </w:p>
    <w:p w14:paraId="5A287B28" w14:textId="77777777" w:rsidR="000055E9" w:rsidRPr="000055E9" w:rsidRDefault="000055E9" w:rsidP="000055E9">
      <w:pPr>
        <w:numPr>
          <w:ilvl w:val="1"/>
          <w:numId w:val="4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body has a line height of 1.6, which improves readability across all text elements.</w:t>
      </w:r>
    </w:p>
    <w:p w14:paraId="5E098F3C" w14:textId="77777777" w:rsidR="000055E9" w:rsidRPr="000055E9" w:rsidRDefault="000055E9" w:rsidP="000055E9">
      <w:pPr>
        <w:jc w:val="both"/>
        <w:rPr>
          <w:b/>
          <w:bCs/>
          <w:sz w:val="28"/>
          <w:szCs w:val="28"/>
        </w:rPr>
      </w:pPr>
      <w:r w:rsidRPr="000055E9">
        <w:rPr>
          <w:b/>
          <w:bCs/>
          <w:sz w:val="28"/>
          <w:szCs w:val="28"/>
        </w:rPr>
        <w:t>5. Text Decoration and Color</w:t>
      </w:r>
    </w:p>
    <w:p w14:paraId="2FC8EB9B" w14:textId="1A85FD92" w:rsidR="000055E9" w:rsidRPr="000055E9" w:rsidRDefault="000055E9" w:rsidP="000055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Gemini</w:t>
      </w:r>
      <w:r w:rsidRPr="000055E9">
        <w:rPr>
          <w:sz w:val="28"/>
          <w:szCs w:val="28"/>
        </w:rPr>
        <w:t>:</w:t>
      </w:r>
    </w:p>
    <w:p w14:paraId="4A0367FC" w14:textId="77777777" w:rsidR="000055E9" w:rsidRPr="000055E9" w:rsidRDefault="000055E9" w:rsidP="000055E9">
      <w:pPr>
        <w:numPr>
          <w:ilvl w:val="1"/>
          <w:numId w:val="5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a elements have a blue color and an underline.</w:t>
      </w:r>
    </w:p>
    <w:p w14:paraId="7FB8FDBE" w14:textId="22974F21" w:rsidR="000055E9" w:rsidRPr="000055E9" w:rsidRDefault="000055E9" w:rsidP="000055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ChatGPT</w:t>
      </w:r>
      <w:r w:rsidRPr="000055E9">
        <w:rPr>
          <w:sz w:val="28"/>
          <w:szCs w:val="28"/>
        </w:rPr>
        <w:t>:</w:t>
      </w:r>
    </w:p>
    <w:p w14:paraId="76EB61FF" w14:textId="77777777" w:rsidR="000055E9" w:rsidRPr="000055E9" w:rsidRDefault="000055E9" w:rsidP="000055E9">
      <w:pPr>
        <w:numPr>
          <w:ilvl w:val="1"/>
          <w:numId w:val="5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a elements are styled with a blue color and no underline by default, but include an underline on hover for better interactivity.</w:t>
      </w:r>
    </w:p>
    <w:p w14:paraId="3F1B7D21" w14:textId="77777777" w:rsidR="000055E9" w:rsidRPr="000055E9" w:rsidRDefault="000055E9" w:rsidP="000055E9">
      <w:pPr>
        <w:jc w:val="both"/>
        <w:rPr>
          <w:b/>
          <w:bCs/>
          <w:sz w:val="28"/>
          <w:szCs w:val="28"/>
        </w:rPr>
      </w:pPr>
      <w:r w:rsidRPr="000055E9">
        <w:rPr>
          <w:b/>
          <w:bCs/>
          <w:sz w:val="28"/>
          <w:szCs w:val="28"/>
        </w:rPr>
        <w:t>6. Additional Properties</w:t>
      </w:r>
    </w:p>
    <w:p w14:paraId="1C9C40D1" w14:textId="29CF9309" w:rsidR="000055E9" w:rsidRPr="000055E9" w:rsidRDefault="000055E9" w:rsidP="000055E9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Gemini</w:t>
      </w:r>
      <w:r w:rsidRPr="000055E9">
        <w:rPr>
          <w:sz w:val="28"/>
          <w:szCs w:val="28"/>
        </w:rPr>
        <w:t>:</w:t>
      </w:r>
    </w:p>
    <w:p w14:paraId="091E81D6" w14:textId="659B3254" w:rsidR="000055E9" w:rsidRPr="000055E9" w:rsidRDefault="000055E9" w:rsidP="000055E9">
      <w:pPr>
        <w:numPr>
          <w:ilvl w:val="1"/>
          <w:numId w:val="6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Focuses primarily on the essential properties.</w:t>
      </w:r>
    </w:p>
    <w:p w14:paraId="19A8B9D6" w14:textId="3C77D03A" w:rsidR="000055E9" w:rsidRPr="000055E9" w:rsidRDefault="000055E9" w:rsidP="000055E9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0055E9">
        <w:rPr>
          <w:sz w:val="28"/>
          <w:szCs w:val="28"/>
        </w:rPr>
        <w:t>:</w:t>
      </w:r>
    </w:p>
    <w:p w14:paraId="78EE042E" w14:textId="77777777" w:rsidR="000055E9" w:rsidRPr="000055E9" w:rsidRDefault="000055E9" w:rsidP="000055E9">
      <w:pPr>
        <w:numPr>
          <w:ilvl w:val="1"/>
          <w:numId w:val="6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Introduces a variety of properties:</w:t>
      </w:r>
    </w:p>
    <w:p w14:paraId="5E2356D0" w14:textId="77777777" w:rsidR="000055E9" w:rsidRPr="000055E9" w:rsidRDefault="000055E9" w:rsidP="000055E9">
      <w:pPr>
        <w:numPr>
          <w:ilvl w:val="2"/>
          <w:numId w:val="6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text-align for headings.</w:t>
      </w:r>
    </w:p>
    <w:p w14:paraId="0CC65E61" w14:textId="77777777" w:rsidR="000055E9" w:rsidRPr="000055E9" w:rsidRDefault="000055E9" w:rsidP="000055E9">
      <w:pPr>
        <w:numPr>
          <w:ilvl w:val="2"/>
          <w:numId w:val="6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Background color and font weight for paragraphs.</w:t>
      </w:r>
    </w:p>
    <w:p w14:paraId="311F6989" w14:textId="77777777" w:rsidR="000055E9" w:rsidRPr="000055E9" w:rsidRDefault="000055E9" w:rsidP="000055E9">
      <w:pPr>
        <w:numPr>
          <w:ilvl w:val="2"/>
          <w:numId w:val="6"/>
        </w:numPr>
        <w:jc w:val="both"/>
        <w:rPr>
          <w:sz w:val="28"/>
          <w:szCs w:val="28"/>
        </w:rPr>
      </w:pPr>
      <w:r w:rsidRPr="000055E9">
        <w:rPr>
          <w:sz w:val="28"/>
          <w:szCs w:val="28"/>
        </w:rPr>
        <w:t>Adds hover effects to links to enhance user interaction.</w:t>
      </w:r>
    </w:p>
    <w:p w14:paraId="607E3BC4" w14:textId="77777777" w:rsidR="000055E9" w:rsidRPr="000055E9" w:rsidRDefault="000055E9" w:rsidP="000055E9">
      <w:pPr>
        <w:jc w:val="both"/>
        <w:rPr>
          <w:sz w:val="28"/>
          <w:szCs w:val="28"/>
        </w:rPr>
      </w:pPr>
    </w:p>
    <w:sectPr w:rsidR="000055E9" w:rsidRPr="000055E9" w:rsidSect="00CE7F3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4875"/>
    <w:multiLevelType w:val="multilevel"/>
    <w:tmpl w:val="FDD6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54B45"/>
    <w:multiLevelType w:val="multilevel"/>
    <w:tmpl w:val="C9D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9581A"/>
    <w:multiLevelType w:val="multilevel"/>
    <w:tmpl w:val="5FB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F7363"/>
    <w:multiLevelType w:val="multilevel"/>
    <w:tmpl w:val="F060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D4078"/>
    <w:multiLevelType w:val="multilevel"/>
    <w:tmpl w:val="0BDA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F73C0"/>
    <w:multiLevelType w:val="multilevel"/>
    <w:tmpl w:val="CA4A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43733">
    <w:abstractNumId w:val="0"/>
  </w:num>
  <w:num w:numId="2" w16cid:durableId="595484840">
    <w:abstractNumId w:val="4"/>
  </w:num>
  <w:num w:numId="3" w16cid:durableId="1610890351">
    <w:abstractNumId w:val="3"/>
  </w:num>
  <w:num w:numId="4" w16cid:durableId="1131048691">
    <w:abstractNumId w:val="1"/>
  </w:num>
  <w:num w:numId="5" w16cid:durableId="1728069511">
    <w:abstractNumId w:val="2"/>
  </w:num>
  <w:num w:numId="6" w16cid:durableId="206527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37"/>
    <w:rsid w:val="000055E9"/>
    <w:rsid w:val="00745CE5"/>
    <w:rsid w:val="00C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6CE2"/>
  <w15:chartTrackingRefBased/>
  <w15:docId w15:val="{61160C28-CD15-4715-97E5-B1B8A010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2</cp:revision>
  <dcterms:created xsi:type="dcterms:W3CDTF">2024-10-17T15:37:00Z</dcterms:created>
  <dcterms:modified xsi:type="dcterms:W3CDTF">2024-10-17T15:45:00Z</dcterms:modified>
</cp:coreProperties>
</file>