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产业链风险传导与授信策略模型说明</w:t>
      </w:r>
    </w:p>
    <w:p>
      <w:pPr>
        <w:pStyle w:val="Subtitle"/>
      </w:pPr>
      <w:r>
        <w:t>决赛阶段二 项目材料</w:t>
      </w:r>
    </w:p>
    <w:p>
      <w:pPr>
        <w:pStyle w:val="Heading1"/>
      </w:pPr>
      <w:r>
        <w:t>项目概览</w:t>
      </w:r>
    </w:p>
    <w:p>
      <w:r>
        <w:t>本项目面向“开放数据—产业链风险—银行信贷”链路，融合企业工商、行政处罚与失信、大宗商品价格、区域经济、政策、全球供应链事件六类官方数据，以及上市公司年报和2020年投入产出结构，输出两类可直接用于授信审查的结果：一是25家验证集企业的授信调整方向与风控措施组合；二是5家企业的产业链风险传导分析，包括关系识别、传导路径与传导强度量化。两类结果均保留输入与规则依据，产业链事实附原文页码，可用一条命令从包内冻结输入重建。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6120000" cy="209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sz w:val="18"/>
        </w:rPr>
        <w:t>图1 从公开数据到授信决策的总体架构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02"/>
        <w:gridCol w:w="5301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60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输出</w:t>
            </w:r>
          </w:p>
        </w:tc>
        <w:tc>
          <w:tcPr>
            <w:tcW w:type="dxa" w:w="53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阶段一 授信策略</w:t>
            </w:r>
          </w:p>
        </w:tc>
        <w:tc>
          <w:tcPr>
            <w:tcW w:type="dxa" w:w="260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25家企业授信方向与措施</w:t>
            </w:r>
          </w:p>
        </w:tc>
        <w:tc>
          <w:tcPr>
            <w:tcW w:type="dxa" w:w="53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收紧6户、维持18户、放宽1户，7户带风控措施；历史初赛提交版本得67.2分，在53支队伍中排名第1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阶段二 产业链传导</w:t>
            </w:r>
          </w:p>
        </w:tc>
        <w:tc>
          <w:tcPr>
            <w:tcW w:type="dxa" w:w="260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5家企业13条核心产业链</w:t>
            </w:r>
          </w:p>
        </w:tc>
        <w:tc>
          <w:tcPr>
            <w:tcW w:type="dxa" w:w="53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38跳全部给出依赖分：强依赖16跳、中依赖9跳、弱依赖13跳；每条链给出最高／最低风险节点和对目标企业的传导金额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项目材料</w:t>
            </w:r>
          </w:p>
        </w:tc>
        <w:tc>
          <w:tcPr>
            <w:tcW w:type="dxa" w:w="260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代码、数据与本说明</w:t>
            </w:r>
          </w:p>
        </w:tc>
        <w:tc>
          <w:tcPr>
            <w:tcW w:type="dxa" w:w="53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阶段一决策从冻结输入重算，阶段二全部图表、工作簿、复算与本文重建，与参考成品逐项一致</w:t>
            </w:r>
          </w:p>
        </w:tc>
      </w:tr>
    </w:tbl>
    <w:p>
      <w:pPr>
        <w:spacing w:after="20"/>
      </w:pPr>
    </w:p>
    <w:p>
      <w:r>
        <w:t>阶段二覆盖三类传导机制：成本正向传导（铜、存储芯片、饲料原料）、需求与价格逆向传导（重点项目交付、海外教育需求与关税、生猪价格），以及信用逆向传导（养殖户融资担保、行业客户回款）。后者对应赛题所述经应收账款与担保关系跨主体传导的风险。</w:t>
      </w:r>
    </w:p>
    <w:p>
      <w:pPr>
        <w:pStyle w:val="Heading1"/>
      </w:pPr>
      <w:r>
        <w:t>数据使用说明</w:t>
      </w:r>
    </w:p>
    <w:p>
      <w:r>
        <w:t>本批企业风险事实的信息截止日为2026年6月30日（含）。来源分别记录统计期、公开日与取得路径，公开日晚于截止日的风险资料即使内容涉及过去也不入模。阶段一另有基于历史比赛反馈的既有审议，单列于结果与审议记录，不冒充截止日前的公开风险事实。企业主体以统一社会信用代码绑定，编号只作本批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3470"/>
        <w:gridCol w:w="3470"/>
        <w:gridCol w:w="964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数据类别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实际来源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企业工商信息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赛题提供的企业工商信息数据（13,088行固定参照）、决赛验证集与阶段二企业名单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主体识别、登记行业、资本与经营年限、参保人数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一、二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行政处罚／失信名单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企业信用报告及公开的处罚、失信、执行与经营异常记录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硬负面信号与组合规则；未命中不等于无风险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大宗商品价格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国家统计局《流通领域重要生产资料市场价格变动情况》旬报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行业成本压力；电解铜、玉米、豆粕、生猪价格传导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一、二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区域经济指标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国家统计局及省级统计部门的GDP、工业增加值、房地产开发投资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区域评分；国内新建地产信号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一、二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政策数据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国务院、财政部等政策文件与银行年报的行业口径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行业政策先验（行业软分）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全球供应链事件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商务部出口管制、关税、制裁与贸易调查发布；TrendForce行业研究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出口与行业暴露；存储涨价信号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一、二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扩展：上市公司定期报告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巨潮资讯发布的2025年年报与2026年一季报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财务判据；分产品收入成本、担保、应收与减值复算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一、二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扩展：投入产出结构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国家统计局2020年投入产出表（153部门）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行业成本依赖与需求去向图</w:t>
            </w:r>
          </w:p>
        </w:tc>
        <w:tc>
          <w:tcPr>
            <w:tcW w:type="dxa" w:w="96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</w:t>
            </w:r>
          </w:p>
        </w:tc>
      </w:tr>
    </w:tbl>
    <w:p>
      <w:pPr>
        <w:spacing w:after="20"/>
      </w:pPr>
    </w:p>
    <w:p>
      <w:r>
        <w:t>阶段一使用官方六类数据及定期报告、投入产出结构两类扩展数据；阶段二使用企业工商信息、大宗商品价格、区域经济指标、全球供应链事件与定期报告五类数据，均满足“至少两类数据源”的要求。行情与行业研究只作为外部信号，不替代企业实际成交价；定期报告的比例按原文金额复算，表文冲突保留原文并以可加总金额为准。</w:t>
      </w:r>
    </w:p>
    <w:p>
      <w:pPr>
        <w:pStyle w:val="Heading1"/>
      </w:pPr>
      <w:r>
        <w:t>数据处理流程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012"/>
        <w:gridCol w:w="3084"/>
      </w:tblGrid>
      <w:tr>
        <w:trPr>
          <w:cantSplit/>
          <w:tblHeader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处理规则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失败时的处理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 主体绑定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按官方企业全称、编号和统一社会信用代码绑定，母子公司与同名企业不自动合并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身份不一致即停止，不按旧编号继承事实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 时点闸门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统计期、事实发生日与公开日分别核验，只接受截止日前已公开的信息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晚于截止日或时点未知的记录保留为缺口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 字段清洗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保留原始金额单位，按用途换算万元或亿元；参保缺失、真实零及财务未知保留标记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部分非关键字段按冻结规则作中性处理；未匹配风险记录不代表无风险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 财务复算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收入、成本、毛利与占比按原文行复算；原表已有的比例差异单独说明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单位、主体、关键勾稽或必需字段不符即报错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 特征构建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形成主体、信号、行业、区域四维特征与财务判据；商品涨幅经投入产出图映射为行业压力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固定参照缺失即停止，不用验证集自算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6 产业链建模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按主营产品与收入建链，逐跳给档位与依据，逐节点给三因子评分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等级与风险值只由档位和评分派生，手写即拒绝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7 输出与回读</w:t>
            </w:r>
          </w:p>
        </w:tc>
        <w:tc>
          <w:tcPr>
            <w:tcW w:type="dxa" w:w="50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图、工作簿与本文由同一规格生成，逐格、逐图、逐段回读</w:t>
            </w:r>
          </w:p>
        </w:tc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任一内容与规格不符即拒绝发布</w:t>
            </w:r>
          </w:p>
        </w:tc>
      </w:tr>
    </w:tbl>
    <w:p>
      <w:pPr>
        <w:spacing w:after="20"/>
      </w:pPr>
    </w:p>
    <w:p>
      <w:r>
        <w:t>阶段二必需来源、单位、时点、关键勾稽或图文规格不满足契约时，流程报错。阶段一保留冻结版本的缺失标记与中性处理规则，财务未知会限制放宽，不能把未命中负面记录解释为已证实无风险。披露金额可回到原文，情景金额与相对评分可回到显式假设和算式。</w:t>
      </w:r>
    </w:p>
    <w:p>
      <w:pPr>
        <w:pStyle w:val="Heading1"/>
      </w:pPr>
      <w:r>
        <w:t>建模思路一：授信策略模型</w:t>
      </w:r>
    </w:p>
    <w:p>
      <w:r>
        <w:t>赛题没有带标签的训练样本，阶段一不在25户上训练分类器，而采用固定统计参照、行业结构、绝对刻度评分与证据优先规则：输入与来源校验→主体与行业定位→特征构建→四维评分→授信方向→措施映射→输出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6361"/>
        <w:gridCol w:w="1735"/>
      </w:tblGrid>
      <w:tr>
        <w:trPr>
          <w:cantSplit/>
          <w:tblHeader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636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主要信息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权重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主体资质</w:t>
            </w:r>
          </w:p>
        </w:tc>
        <w:tc>
          <w:tcPr>
            <w:tcW w:type="dxa" w:w="636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注册及实缴资本、经营年限、参保人数、治理、网站与地址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0.32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风险信号</w:t>
            </w:r>
          </w:p>
        </w:tc>
        <w:tc>
          <w:tcPr>
            <w:tcW w:type="dxa" w:w="636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处罚、失信、经营异常、期限冲突、经营实质组合与工商异动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0.30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行业</w:t>
            </w:r>
          </w:p>
        </w:tc>
        <w:tc>
          <w:tcPr>
            <w:tcW w:type="dxa" w:w="636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行业政策先验、商品成本压力、政策与供应链事件、出口暴露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0.23</w:t>
            </w:r>
          </w:p>
        </w:tc>
      </w:tr>
      <w:tr>
        <w:trPr>
          <w:cantSplit/>
        </w:trPr>
        <w:tc>
          <w:tcPr>
            <w:tcW w:type="dxa" w:w="15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区域</w:t>
            </w:r>
          </w:p>
        </w:tc>
        <w:tc>
          <w:tcPr>
            <w:tcW w:type="dxa" w:w="636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区域GDP、城市层级与固定参照集聚度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0.15</w:t>
            </w:r>
          </w:p>
        </w:tc>
      </w:tr>
    </w:tbl>
    <w:p>
      <w:pPr>
        <w:spacing w:after="20"/>
      </w:pPr>
    </w:p>
    <w:p>
      <w:r>
        <w:t>各子分和综合分在0至100之间，数值越高表示风险越高，是规则刻度而不是违约概率。财务是独立判断层：有效ST、非标准审计意见、亏损与高杠杆、现金与利息覆盖不足等已确认风险直接约束授信方向，不被良好的工商表面信息稀释。</w:t>
      </w:r>
    </w:p>
    <w:p>
      <w:r>
        <w:t>授信方向按证据优先顺序决定：硬负面信号、多项弱信号组合或财务恶化规则成立即收紧；未命中规则但综合分达到50分以上也收紧；综合分不高于32分且适用的放宽条件全部通过才放宽，其余维持。放宽要求成立不少于6年、无公开负面记录、非自然人独资、非类金融经营范围，并通过企业类型、行业政策及信号分条件。收紧只需任一路径命中，放宽要求全部闸门通过，体现“漏判高风险代价更大”的原则。</w:t>
      </w:r>
    </w:p>
    <w:p>
      <w:r>
        <w:t>放宽条件按证据适用性区分：通常要求披露实缴率不低于95%、参保不少于20人；有经核验财务记录时，以财务判据替代实缴比例，有有效审计证据时不因实缴未披露而否决，且参保纯缺失可记为不适用，明确为零仍阻止放宽。财务层另要求当期净利润为正、无亏损年度或明显利润恶化、无有效ST及非标审计、担保风险不高，并通过资产负债率与利息保障倍数的分档条件。当前配置下，无经核验财务证据不能放宽。</w:t>
      </w:r>
    </w:p>
    <w:p>
      <w:r>
        <w:t>措施从官方九类中选取：调整利率定价、调低信用评级、增加经营销售归行占比、暂停新增并冻结或调减授信额度、追加或更换抵押物、增加保证担保、增加质押物担保、缩短贷款期限、提前收回融资。措施按证据排序去重，不为凑足条数追加；利率定价指按风险提高价格补偿。</w:t>
      </w:r>
    </w:p>
    <w:p>
      <w:r>
        <w:t>行业层用国家统计局2020年153部门投入产出表构建成本依赖图：商品涨幅映射为上游行业压力，沿成本图最多两跳衰减传导进入行业评分。另以完全消耗系数L－I（L＝(I－A)⁻¹）衡量源头价格对目标行业的总效应，结合收入、EBIT与利息测算冲击后的利息保障倍数，作为解释与压力测试，不回写主评分。</w:t>
      </w:r>
    </w:p>
    <w:p>
      <w:pPr>
        <w:pStyle w:val="Heading1"/>
      </w:pPr>
      <w:r>
        <w:t>建模思路二：产业链风险传导模型</w:t>
      </w:r>
    </w:p>
    <w:p>
      <w:r>
        <w:t>三个评价子维度对应三步计算。产业链关系识别：按年报主营产品与分产品收入建链，识别上下游环节、核心环节（组织本链订单、定价或信用的节点）与本企业的上下游定位。风险传导路径定义：明确风险起点和逐跳机制，覆盖成本正向传导、需求与价格逆向传导、信用逆向传导三类。传导强度量化：逐跳依赖分、逐节点风险值，以及风险到达目标企业时的金额。</w:t>
      </w:r>
    </w:p>
    <w:p>
      <w:r>
        <w:t>依赖强度指承接节点对传出节点的依赖，按官方评分案例的两项事实量化：一是份额，成本传导看该投入在承接节点成本中的占比，需求、价格或信用逆向传导看承接节点销售或敞口对传出节点的去向占比；信用敞口份额以同类融资组合为分母，不以净资产代替，追偿是损失缓冲而非既有责任的替代；二是替代难度，即本批交付窗口内换源、换客户或改配的可行性。份额分档：主导（过半）80分、可观（约四分之一至一半）50分、一般（约一成至四分之一）30分、较小（不足一成）10分；替代难度分档：锁定（窗口内不可替代）90分、较难（需重新认证或设计）60分、可行（有可比来源但有代价）40分、容易（多个可比来源）20分。依赖分＝两项均值，70分及以上为强依赖、50至69分为中依赖、50分以下为弱依赖。档位参照官方案例设置：“原材料采购占比80%、替代供应商少”得85分强依赖，“电池供应商有多家”得45分弱依赖。每一跳都必须给出等级与分数，并标注份额档位的依据：〔已披露份额〕表示有分子、分母及业务范围与该跳一致的定期报告比例直接支撑；总材料占比、跨产品地区占比或应收占收入比不能替代该跳份额。〔结构推断〕（图上标*）表示无逐项份额披露，按该环节的认证、工艺、适配与可替代条件判断，待核信息在逐跳依据中列明。依赖分用于比较传导强弱，不是损失比例或违约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份额档位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分值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主导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80分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可观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50分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一般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30分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较小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10分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替代难度档位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分值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锁定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90分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较难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60分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可行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40分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容易</w:t>
            </w:r>
          </w:p>
        </w:tc>
        <w:tc>
          <w:tcPr>
            <w:tcW w:type="dxa" w:w="481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20分</w:t>
            </w:r>
          </w:p>
        </w:tc>
      </w:tr>
    </w:tbl>
    <w:p>
      <w:pPr>
        <w:spacing w:after="20"/>
      </w:pPr>
    </w:p>
    <w:p>
      <w:r>
        <w:t>节点风险值＝影响范围×不可替代性×传导后果，三项各按1至5分评定：影响范围看扰动沿链波及的环节与业务规模，不可替代性看本批窗口内换源、换客户或改配的难度，传导后果看扰动经过或落在本节点时的放大、停摆或损失程度。▲红色为风险路径上风险值最高的节点，▼绿色为最低的节点，评分须唯一决出高低；风险值用于同一条链内的相对比较，不跨链比较，也不是违约概率。</w:t>
      </w:r>
    </w:p>
    <w:p>
      <w:r>
        <w:t>▲▼按官方示例的节点关键性口径判断：资源集中、难以替代或汇聚多类投入的源头与瓶颈为最高风险，经多层缓冲、可灵活调整的链末为最低风险。本企业承受多少压力另行量化：以年报金额复算收入、毛利、担保代偿或应收减值，并用价格、损失率等压力情景给出线性量级，不作预测。</w:t>
      </w:r>
    </w:p>
    <w:p>
      <w:r>
        <w:t>本批38跳全部给出依赖分：强依赖16跳、中依赖9跳、弱依赖13跳；其中1跳的份额档位由定期报告已披露比例直接支撑，37跳按环节结构推断并在图上标*。</w:t>
      </w:r>
    </w:p>
    <w:p>
      <w:pPr>
        <w:pStyle w:val="Heading1"/>
      </w:pPr>
      <w:r>
        <w:t>阶段二结果总览</w:t>
      </w:r>
    </w:p>
    <w:p>
      <w:r>
        <w:t>下表汇总13条核心产业链。关系识别以核心环节和本企业定位表达；传导强度以最高／最低风险节点、最强依赖跳和对目标企业的金额量级表达。逐跳依据、节点比较与来源见各企业Excel。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71"/>
        <w:gridCol w:w="1928"/>
        <w:gridCol w:w="1253"/>
        <w:gridCol w:w="2313"/>
        <w:gridCol w:w="3373"/>
      </w:tblGrid>
      <w:tr>
        <w:trPr>
          <w:cantSplit/>
          <w:tblHeader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产业链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事件性质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核心环节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本企业定位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006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成套开关设备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成套开关设备制造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成套开关设备制造（即核心环节）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006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变压器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变压器装配试验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变压器装配试验（即核心环节）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006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电力电容器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电容器成套装置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电容器成套装置（即核心环节）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011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液晶主控板卡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电视整机制造与品牌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液晶主控板卡制造（位于核心环节上游）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011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交互显示终端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海外品牌与渠道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交互平板整机ODM制造（位于核心环节上游）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018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楼宇智能控制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建筑智能化集成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楼宇控制设备制造（位于核心环节上游）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018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智能家居出口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条件情景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海外经销与ODM客户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智能控制设备制造（位于核心环节上游）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023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动物饲料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条件情景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配方饲料加工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配方饲料加工（即核心环节）；畜禽水产养殖（位于核心环节下游）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023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生猪养殖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生猪育肥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饲料与动保供应（位于核心环节上游）；生猪育肥（即核心环节）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023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养殖户融资担保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条件情景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饲料动保供应与融资担保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饲料动保供应与融资担保（即核心环节）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025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无线通信设备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无线通信装备制造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无线通信装备制造（即核心环节）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025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数智通信工程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条件情景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通信工程服务集成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通信工程服务集成（即核心环节）</w:t>
            </w:r>
          </w:p>
        </w:tc>
      </w:tr>
      <w:tr>
        <w:trPr>
          <w:cantSplit/>
        </w:trPr>
        <w:tc>
          <w:tcPr>
            <w:tcW w:type="dxa" w:w="77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025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行业客户回款</w:t>
            </w:r>
          </w:p>
        </w:tc>
        <w:tc>
          <w:tcPr>
            <w:tcW w:type="dxa" w:w="125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已观察事件</w:t>
            </w:r>
          </w:p>
        </w:tc>
        <w:tc>
          <w:tcPr>
            <w:tcW w:type="dxa" w:w="231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行业客户验收结算</w:t>
            </w:r>
          </w:p>
        </w:tc>
        <w:tc>
          <w:tcPr>
            <w:tcW w:type="dxa" w:w="337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通信装备与工程交付（位于核心环节上游）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891"/>
        <w:gridCol w:w="1928"/>
        <w:gridCol w:w="2891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产业链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</w:pPr>
            <w:r>
              <w:rPr>
                <w:b/>
                <w:sz w:val="19"/>
              </w:rPr>
              <w:t>最高／最低风险节点（风险值）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最强依赖跳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对目标企业的量级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006成套开关设备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▲铜材供应（80）</w:t>
              <w:br/>
              <w:t>▼配电工程采购集成（8）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铜料计价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铜价+10%吸收3,176万元，占成套毛利6.45%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006变压器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▲铜材供应（80）</w:t>
              <w:br/>
              <w:t>▼变电工程采购交付（12）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绕组转价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铜价+10%吸收722万元，占变压器毛利5.77%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006电力电容器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▲电容器成套装置（64）</w:t>
              <w:br/>
              <w:t>▼介质与电极材料供应（8）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项目改期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电容器收入-6.32%，应收为货币资金3.75倍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011液晶主控板卡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▲存储与控制芯片供应（80）</w:t>
              <w:br/>
              <w:t>▼电视零售（8）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存储涨价 强依赖70分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板卡收入70.31亿元，承压取决于转价比例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011交互显示终端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▲海外品牌与渠道（48）</w:t>
              <w:br/>
              <w:t>▼面板与模组供应（8）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需求萎缩 强依赖70分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ODM收入-21.03%，减少约8.24亿元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018楼宇智能控制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▲建筑智能化集成（64）</w:t>
              <w:br/>
              <w:t>▼通用电子元器件供应（8）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施工改期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全公司境内收入下降10%减毛利691万元，仅作地区参照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018智能家居出口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▲智能控制设备制造（48）</w:t>
              <w:br/>
              <w:t>▼通用电子元器件供应（8）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项目缓采 中依赖60分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全公司境外收入下降10%减毛利989万元，仅作地区参照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023动物饲料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▲谷物与蛋白原料供应（80）</w:t>
              <w:br/>
              <w:t>▼食品采购消费（4）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原料净成本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原料成本+1%相当于饲料毛利8.93%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023生猪养殖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▲生猪育肥（80）</w:t>
              <w:br/>
              <w:t>▼饲料与动保供应（8）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收购价回落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2025年生猪养殖利润下降9亿元以上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023养殖户融资担保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▲养殖户与经销商经营（80）</w:t>
              <w:br/>
              <w:t>▼畜禽水产品销售（16）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售价下行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客户担保25.99亿元，损失率+1个百分点增损0.26亿元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025无线通信设备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▲无线通信装备制造（64）</w:t>
              <w:br/>
              <w:t>▼通用电子元器件供应（8）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签约延缓 强依赖85分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无线收入-30.49%，减少4.83亿元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025数智通信工程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▲通信工程服务集成（48）</w:t>
              <w:br/>
              <w:t>▼运营商工程验收（8）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交付核量错配 强依赖70分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合同资产较上年末+21.89%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025行业客户回款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▲通信装备与工程交付（80）</w:t>
              <w:br/>
              <w:t>▼元器件与外协供应（8）</w:t>
            </w:r>
          </w:p>
        </w:tc>
        <w:tc>
          <w:tcPr>
            <w:tcW w:type="dxa" w:w="19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结算放缓 强依赖70分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信用减值为上年11.36倍，应收53.91亿元</w:t>
            </w:r>
          </w:p>
        </w:tc>
      </w:tr>
    </w:tbl>
    <w:p>
      <w:pPr>
        <w:spacing w:after="20"/>
      </w:pPr>
    </w:p>
    <w:p>
      <w:pPr>
        <w:pStyle w:val="Heading1"/>
      </w:pPr>
      <w:r>
        <w:t>案例一：铜价沿成套开关设备链正向传导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6120000" cy="279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sz w:val="18"/>
        </w:rPr>
        <w:t>图2 006成套开关设备产业链</w:t>
      </w:r>
    </w:p>
    <w:p>
      <w:r>
        <w:t>电解铜由2026年1月上旬的102,172.0元/吨变为2026年6月中旬的104,871.7元/吨，相对该比较期+2.64%。原文分别公开于1月14日、6月24日；6月中旬较上旬下降0.2%，不是持续单边上涨。年报确认铜材为主要投入之一。</w:t>
      </w:r>
    </w:p>
    <w:p>
      <w:r>
        <w:t>产业链关系识别：铜材供应 → 铜导体加工 → 成套开关设备制造 → 配电工程采购集成；目标企业所在环节：成套开关设备制造；核心环节：成套开关设备制造（集成导体、开关元件与二次系统并完成型式试验，决定成套方案与交付节奏）；本企业定位：成套开关设备制造（即核心环节）</w:t>
      </w:r>
    </w:p>
    <w:p>
      <w:r>
        <w:t>风险传导路径（正向传导）：铜材供应 → 铜导体加工 → 成套开关设备制造 → 配电工程采购集成；逐跳依赖强度：铜材供应→铜导体加工 强依赖85分（结构推断）；铜导体加工→成套开关设备制造 中依赖55分（结构推断）；成套开关设备制造→配电工程采购集成 弱依赖45分（结构推断）</w:t>
      </w:r>
    </w:p>
    <w:p>
      <w:r>
        <w:t>风险节点判断：▲最高＝铜材供应（风险值80：资源集中、难以替代，源头扰动沿导体、成套、工程全链放大）；▼最低＝配电工程采购集成（风险值8：位于链末，设备只占工程预算一部分且有多家合格供方，经多层缓冲）。</w:t>
      </w:r>
    </w:p>
    <w:p>
      <w:r>
        <w:t>对目标企业的传导影响：2025年成套开关设备收入30.34亿元、毛利4.92亿元。铜在材料中的金额权重、净套保敞口和转价比例均未披露；下表为固定数量、净敞口100%时每百元基期收入需吸收的增量成本（元）。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77"/>
        <w:gridCol w:w="2120"/>
        <w:gridCol w:w="2120"/>
        <w:gridCol w:w="2120"/>
      </w:tblGrid>
      <w:tr>
        <w:trPr>
          <w:cantSplit/>
          <w:tblHeader/>
        </w:trPr>
        <w:tc>
          <w:tcPr>
            <w:tcW w:type="dxa" w:w="327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材料内铜权重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转价0%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转价50%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转价100%</w:t>
            </w:r>
          </w:p>
        </w:tc>
      </w:tr>
      <w:tr>
        <w:trPr>
          <w:cantSplit/>
        </w:trPr>
        <w:tc>
          <w:tcPr>
            <w:tcW w:type="dxa" w:w="327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0.184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0.092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0.000</w:t>
            </w:r>
          </w:p>
        </w:tc>
      </w:tr>
      <w:tr>
        <w:trPr>
          <w:cantSplit/>
        </w:trPr>
        <w:tc>
          <w:tcPr>
            <w:tcW w:type="dxa" w:w="327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0.553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0.277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0.000</w:t>
            </w:r>
          </w:p>
        </w:tc>
      </w:tr>
      <w:tr>
        <w:trPr>
          <w:cantSplit/>
        </w:trPr>
        <w:tc>
          <w:tcPr>
            <w:tcW w:type="dxa" w:w="327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50%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0.922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0.461</w:t>
            </w:r>
          </w:p>
        </w:tc>
        <w:tc>
          <w:tcPr>
            <w:tcW w:type="dxa" w:w="21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0.000</w:t>
            </w:r>
          </w:p>
        </w:tc>
      </w:tr>
    </w:tbl>
    <w:p>
      <w:pPr>
        <w:spacing w:after="20"/>
      </w:pPr>
    </w:p>
    <w:p>
      <w:r>
        <w:t>按材料内铜权重30%、转价50%：比较期铜价+2.64%对应吸收约839万元，铜价上涨10%时约3,176万元（占成套毛利6.45%）。全额转价时吸收额归零，但不保证销量与回款不受影响。</w:t>
      </w:r>
    </w:p>
    <w:p>
      <w:r>
        <w:t>授信关注点：核实铜套保与采购锁价覆盖率、成套合同调价条款；铜价持续上行时按吸收额评估毛利缓冲。</w:t>
      </w:r>
    </w:p>
    <w:p>
      <w:pPr>
        <w:pStyle w:val="Heading1"/>
      </w:pPr>
      <w:r>
        <w:t>案例二：养殖户经营亏损经融资担保传导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6120000" cy="279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sz w:val="18"/>
        </w:rPr>
        <w:t>图3 023养殖户融资担保产业链</w:t>
      </w:r>
    </w:p>
    <w:p>
      <w:r>
        <w:t>年报第19页披露2025年生猪价格持续下行、9月后低于养殖成本；第71—74页列示对养殖户或经销商等客户的连带责任保证，第79页公司全部担保项下披露代偿与追偿，未拆分客户部分。2026年比较期生猪（外三元）由2026年1月上旬的12.5元/千克变为2026年6月中旬的9.5元/千克，相对该比较期-24.00%；仅当受影响客户回款不足并逾期时向本链担保方传导。</w:t>
      </w:r>
    </w:p>
    <w:p>
      <w:r>
        <w:t>产业链关系识别：饲料动保供应与融资担保 → 合作金融机构贷款 → 养殖户与经销商经营 → 畜禽水产品销售；目标企业所在环节：饲料动保供应与融资担保；核心环节：饲料动保供应与融资担保（以饲料供应、技术服务与融资担保连接养殖户、经销商与金融机构，是本融资链的信用组织者）；本企业定位：饲料动保供应与融资担保（即核心环节）</w:t>
      </w:r>
    </w:p>
    <w:p>
      <w:r>
        <w:t>风险传导路径（逆向信用传导）：畜禽水产品销售 → 养殖户与经销商经营 → 合作金融机构贷款 → 饲料动保供应与融资担保；逐跳依赖强度：畜禽水产品销售→养殖户与经销商经营 强依赖85分（结构推断）；养殖户与经销商经营→合作金融机构贷款 强依赖70分（结构推断）；合作金融机构贷款→饲料动保供应与融资担保 强依赖85分（已披露份额）</w:t>
      </w:r>
    </w:p>
    <w:p>
      <w:r>
        <w:t>风险节点判断：▲最高＝养殖户与经销商经营（风险值80：售价低于成本首先压低经营现金流，无其他偿债来源时易触发逾期，养殖周期内难以退出）；▼最低＝畜禽水产品销售（风险值16：销售环节渠道可替代，价格下行首先压低养殖端现金流，销售环节自身信用损失较间接）。</w:t>
      </w:r>
    </w:p>
    <w:p>
      <w:r>
        <w:t>对目标企业的传导影响：报告期对养殖户、经销商等客户的担保实际发生69.63亿元，期末余额25.99亿元；公司全部担保已偿付6,622.72万元、追偿1,588.29万元（追偿率23.98%），未收回5,034.43万元，占全部担保余额35.25亿元的1.43%，未披露客户拆分。客户担保损失率上升1个百分点时，按客户余额增加损失约0.26亿元；反担保与扣款可缓冲最终净损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891"/>
        <w:gridCol w:w="3855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指标或情景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口径与边界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对养殖户、经销商等客户的担保（2025年）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实际发生69.63亿元，期末余额25.99亿元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年报物理第71—74页对外担保表（单位万元），审批额度44.50亿元；实际发生额含报告期内提供后又解除的担保。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公司全部担保：累计偿付与追偿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偿付6,622.72万元，追偿1,588.29万元（追偿率23.98%）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年报物理第79页公司担保总额栏，未披露客户担保拆分；未收回5,034.43万元，占全部担保余额35.25亿元的1.43%。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客户担保占全部担保余额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73.74%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客户担保A4÷全部担保（A4+B4+C4），表示担保组合投向，不是损失率；分母包括公司其他担保。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全部担保余额占净资产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14.54%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年报物理第79页原文列示，含对子公司担保。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压力情景：客户担保损失率上升1个百分点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增加损失约0.26亿元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按期末对客户担保余额的线性测算，不是预测损失率，也不是公司实际新增代偿。</w:t>
            </w:r>
          </w:p>
        </w:tc>
      </w:tr>
    </w:tbl>
    <w:p>
      <w:pPr>
        <w:spacing w:after="20"/>
      </w:pPr>
    </w:p>
    <w:p>
      <w:r>
        <w:t>授信关注点：把对养殖户、经销商的担保余额计入或有负债，按担保损失率敏感度设定预警阈值，跟踪逾期代偿与追偿进度。</w:t>
      </w:r>
    </w:p>
    <w:p>
      <w:pPr>
        <w:pStyle w:val="Heading1"/>
      </w:pPr>
      <w:r>
        <w:t>案例三：行业客户结算放缓经应收账款传导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6120000" cy="279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sz w:val="18"/>
        </w:rPr>
        <w:t>图4 025行业客户回款产业链</w:t>
      </w:r>
    </w:p>
    <w:p>
      <w:r>
        <w:t>年报第18页披露行业客户调整、周期波动及合同签订延缓；第27页期末应收账款占总资产25.35%，合同资产较上年增加；第77页合并利润表信用减值损失较上年大幅扩大；第7页归属于上市公司股东的净利润由盈转亏。</w:t>
      </w:r>
    </w:p>
    <w:p>
      <w:r>
        <w:t>产业链关系识别：元器件与外协供应 → 通信装备与工程交付 → 行业客户验收结算；目标企业所在环节：通信装备与工程交付；核心环节：行业客户验收结算（决定验收、结算与付款节奏，是本回款链的资金组织者）；本企业定位：通信装备与工程交付（位于核心环节上游）</w:t>
      </w:r>
    </w:p>
    <w:p>
      <w:r>
        <w:t>风险传导路径（逆向信用传导）：行业客户验收结算 → 通信装备与工程交付 → 元器件与外协供应；逐跳依赖强度：行业客户验收结算→通信装备与工程交付 强依赖70分（结构推断）；通信装备与工程交付→元器件与外协供应 弱依赖25分（结构推断）</w:t>
      </w:r>
    </w:p>
    <w:p>
      <w:r>
        <w:t>风险节点判断：▲最高＝通信装备与工程交付（风险值80：应收超过全年收入、客户集中且主导结算节奏，信用减值直接冲击利润）；▼最低＝元器件与外协供应（风险值8：回款压力须先耗用本企业现金与融资缓冲，才可能继续传至可转供的供应商，当前未取得延付证据）。</w:t>
      </w:r>
    </w:p>
    <w:p>
      <w:r>
        <w:t>对目标企业的传导影响：期末应收账款余额61.31亿元，坏账准备7.40亿元，净额53.91亿元，占总资产25.35%、为营业收入的122.85%；合同资产16.34亿元。信用减值损失2.34亿元，为上年的11.36倍，占营业收入由0.42%升至5.33%；归母净利润-7.86亿元，经营活动现金流量净额-6.45亿元。坏账计提比例由8.48%升至12.07%；固定应收余额、计提比例再上升1个百分点时增加损失约0.61亿元；货币资金38.59亿元为应收净额的71.58%，另有2026年3月20亿元中期票据；实际偿债缓冲还须扣除受限资金并匹配到期债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891"/>
        <w:gridCol w:w="3855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指标或情景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口径与边界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应收账款净额（期末）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53.91亿元（占总资产25.35%，为营业收入的122.85%）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年报物理第27页资产构成与第7页营业收入；净额已扣除坏账准备。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应收账款账面余额、坏账准备及计提比例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余额61.31亿元－准备7.40亿元＝净额53.91亿元；计提比例12.07%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年报物理第114页合计；账面余额较上年+2.74%，计提比例由8.48%升至12.07%。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信用减值损失（2025年）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2.34亿元（上年0.21亿元，为上年的11.36倍）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年报物理第77页合并利润表；占营业收入由0.42%升至5.33%。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归母净利润与经营现金流（2025年）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净利润-7.86亿元；经营现金流-6.45亿元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年报物理第7页主要会计数据；净亏损另有其他因素，不全部归因于回款。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压力情景：应收坏账计提比例上升1个百分点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增加损失约0.61亿元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固定期末应收账面余额，新增准备＝账面余额×计提比例增量；按其他因素不变测算，不是预测计提比例。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货币资金÷应收净额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71.58%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期末货币资金38.59亿元÷应收账款净额；是规模比较，不是短债覆盖率。2026年3月另有20亿元中期票据，须结合受限资金与到期债务评估。</w:t>
            </w:r>
          </w:p>
        </w:tc>
      </w:tr>
    </w:tbl>
    <w:p>
      <w:pPr>
        <w:spacing w:after="20"/>
      </w:pPr>
    </w:p>
    <w:p>
      <w:r>
        <w:t>授信关注点：跟踪应收账龄、主要客户回款与信用减值计提；以货币资金和中期票据评估短期偿债缓冲。</w:t>
      </w:r>
    </w:p>
    <w:p>
      <w:pPr>
        <w:pStyle w:val="Heading1"/>
      </w:pPr>
      <w:r>
        <w:t>案例四：海外需求与关税沿ODM出口链逆向传导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6120000" cy="279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sz w:val="18"/>
        </w:rPr>
        <w:t>图5 011交互显示终端产业链</w:t>
      </w:r>
    </w:p>
    <w:p>
      <w:r>
        <w:t>年报第30页披露ODM业务受海外教育市场需求变化及关税变动等因素影响，收入同比下降21.03%；第74页说明北美IFPD市场需求萎缩导致相关产品销量下滑，叠加美国关税政策变动，公司主动提升海外合作工厂供应占比。同期MAXHUB海外业务营收同比增长54.83%。</w:t>
      </w:r>
    </w:p>
    <w:p>
      <w:r>
        <w:t>产业链关系识别：面板与模组供应 → 交互平板整机ODM制造 → 海外品牌与渠道 → 海外教育与会议采购；目标企业所在环节：交互平板整机ODM制造；核心环节：海外品牌与渠道（决定产品定义、下单规模与渠道库存，是本出口链的需求组织者）；本企业定位：交互平板整机ODM制造（位于核心环节上游）</w:t>
      </w:r>
    </w:p>
    <w:p>
      <w:r>
        <w:t>风险传导路径（逆向传导）：海外教育与会议采购 → 海外品牌与渠道 → 交互平板整机ODM制造 → 面板与模组供应；逐跳依赖强度：海外教育与会议采购→海外品牌与渠道 强依赖70分（结构推断）；海外品牌与渠道→交互平板整机ODM制造 中依赖60分（结构推断）；交互平板整机ODM制造→面板与模组供应 弱依赖15分（结构推断）</w:t>
      </w:r>
    </w:p>
    <w:p>
      <w:r>
        <w:t>风险节点判断：▲最高＝海外品牌与渠道（风险值48：直面需求变化并作为进口方承担关税，库存与关税压力首先在此汇集）；▼最低＝面板与模组供应（风险值8：通用面板与模组可转供其他整机，回压经品牌与ODM两层缓冲）。</w:t>
      </w:r>
    </w:p>
    <w:p>
      <w:r>
        <w:t>对目标企业的传导影响：2025年ODM业务收入30.94亿元，同比下降21.03%，按同比倒推减少约8.24亿元；商用显示设备及系统收入81.08亿元，同比-12.80%、减少约11.90亿元。同期MAXHUB海外业务营收6.66亿元、增长54.83%，自有品牌部分对冲ODM出口下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891"/>
        <w:gridCol w:w="3855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指标或情景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口径与边界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ODM业务收入（2025年）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30.94亿元（同比-21.03%，减少约8.24亿元）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年报物理第30页正文；减少额按同比倒推。原因为海外教育市场需求变化及关税变动。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商用显示设备及系统收入（2025年）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81.08亿元（同比-12.80%，减少约11.90亿元）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年报物理第30页分产品收入，与上年金额复算一致。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MAXHUB海外业务营收（2025年）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6.66亿元（同比+54.83%）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年报物理第30页正文；自有品牌海外增长部分对冲ODM出口下滑。</w:t>
            </w:r>
          </w:p>
        </w:tc>
      </w:tr>
    </w:tbl>
    <w:p>
      <w:pPr>
        <w:spacing w:after="20"/>
      </w:pPr>
    </w:p>
    <w:p>
      <w:r>
        <w:t>授信关注点：跟踪ODM客户集中度与海外产能转移进度，区分ODM出口与自有品牌海外业务的回款表现。</w:t>
      </w:r>
    </w:p>
    <w:p>
      <w:pPr>
        <w:pStyle w:val="Heading1"/>
      </w:pPr>
      <w:r>
        <w:t>阶段一结果与审议记录</w:t>
      </w:r>
    </w:p>
    <w:p>
      <w:r>
        <w:t>阶段一处理25家验证集企业，最终结果为收紧6户、维持18户、放宽1户，其中7户带风控措施。复现时从9月15日保存的基础特征和财务输入重算财务派生列，执行固定版本的模型判定，再严格应用六项既有审议，最后按发布规则重建25户的75个提交单元格，四个上游工件与最终表格均与参考件逐项一致。</w:t>
      </w:r>
    </w:p>
    <w:p>
      <w:r>
        <w:t>六项审议中，017由维持改为放宽，另五项只调整措施。依据是同信用代码主体在历史批次的反馈组合；跨阶段标签稳定是建模假设，未经官方逐户确认。12家历史重合企业的措施读取审议后的快照，另13家按冻结规则派生。</w:t>
      </w:r>
    </w:p>
    <w:p>
      <w:r>
        <w:t>025的授信判断存在方向相反的已知证据：年末现金口径偏紧，但2026年3月已完成20亿元中期票据发行（年报物理164页），2026年3月31日合并货币资金高于同日短期借款（一季报物理6、7页）。这是账面比较，不代表扣除受限资金后覆盖全部短债，发债资金也不重复计入期末现金；模型采用较保守的一侧，并在产业链回款分析中量化了应收与减值压力。</w:t>
      </w:r>
    </w:p>
    <w:p>
      <w:pPr>
        <w:pStyle w:val="Heading1"/>
      </w:pPr>
      <w:r>
        <w:t>模型验证与稳定性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433"/>
        <w:gridCol w:w="3470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44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历史初赛评分</w:t>
            </w:r>
          </w:p>
        </w:tc>
        <w:tc>
          <w:tcPr>
            <w:tcW w:type="dxa" w:w="44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初赛官方榜单（授信方向与措施）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历史初赛提交版本得67.2分，在53支队伍中排名第1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历史输入扰动稳健性</w:t>
            </w:r>
          </w:p>
        </w:tc>
        <w:tc>
          <w:tcPr>
            <w:tcW w:type="dxa" w:w="44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初赛25户×8个字段×2个方向，共400次扰动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授信方向翻转2次，翻转率0.50%；分组翻转率相差0.21个百分点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数字一致性</w:t>
            </w:r>
          </w:p>
        </w:tc>
        <w:tc>
          <w:tcPr>
            <w:tcW w:type="dxa" w:w="44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原文金额、单位、关键勾稽与情景参数逐项核对；已知原表差异明确披露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本批检查通过，计算值与对应假设一致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复现一致性</w:t>
            </w:r>
          </w:p>
        </w:tc>
        <w:tc>
          <w:tcPr>
            <w:tcW w:type="dxa" w:w="44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一条命令从包内输入重建阶段一决策与阶段二全部成品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工作簿、图、复算结果和本文均与参考件逐项一致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反例测试</w:t>
            </w:r>
          </w:p>
        </w:tc>
        <w:tc>
          <w:tcPr>
            <w:tcW w:type="dxa" w:w="44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构造错来源、错单位、脱离数值的披露档位，以及被改写的图像或正文</w:t>
            </w:r>
          </w:p>
        </w:tc>
        <w:tc>
          <w:tcPr>
            <w:tcW w:type="dxa" w:w="347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已覆盖的非法反例被拒绝；业务判断仍须证据审查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4"/>
        <w:gridCol w:w="1446"/>
        <w:gridCol w:w="1735"/>
        <w:gridCol w:w="1735"/>
        <w:gridCol w:w="1638"/>
      </w:tblGrid>
      <w:tr>
        <w:trPr>
          <w:cantSplit/>
          <w:tblHeader/>
        </w:trPr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历史行业组</w:t>
            </w:r>
          </w:p>
        </w:tc>
        <w:tc>
          <w:tcPr>
            <w:tcW w:type="dxa" w:w="14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企业数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试验数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翻转次数</w:t>
            </w:r>
          </w:p>
        </w:tc>
        <w:tc>
          <w:tcPr>
            <w:tcW w:type="dxa" w:w="163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翻转率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制造业</w:t>
            </w:r>
          </w:p>
        </w:tc>
        <w:tc>
          <w:tcPr>
            <w:tcW w:type="dxa" w:w="14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160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3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0.625%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服务与其他</w:t>
            </w:r>
          </w:p>
        </w:tc>
        <w:tc>
          <w:tcPr>
            <w:tcW w:type="dxa" w:w="14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240</w:t>
            </w:r>
          </w:p>
        </w:tc>
        <w:tc>
          <w:tcPr>
            <w:tcW w:type="dxa" w:w="17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3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0.417%</w:t>
            </w:r>
          </w:p>
        </w:tc>
      </w:tr>
    </w:tbl>
    <w:p>
      <w:pPr>
        <w:spacing w:after="20"/>
      </w:pPr>
    </w:p>
    <w:p>
      <w:r>
        <w:t>历史扰动报告所记批次为20260825T065117452477Z。包内data_stage2\historical_validation.json保留原报告与榜单的完整统计快照、来源文件指纹及八类扰动参数；统计值由逐字段、逐组与逐户计数交叉复核。原报告未记录当次输入指纹、代码指纹或运行时间，因此该快照支持历史统计复核，不证明当前决赛版本已完成同一扰动试验。历史验证资料不参与决赛特征或决策。</w:t>
      </w:r>
    </w:p>
    <w:p>
      <w:r>
        <w:t>决赛批没有公开的逐户标签，本文不报告决赛准确率；初赛分数只对应历史提交版本，不代表当前决赛冻结版本取得该分数。扰动试验衡量结论对输入噪声的敏感度而不是准确率，翻转率低主要因为授信方向由离散证据规则决定。</w:t>
      </w:r>
    </w:p>
    <w:p>
      <w:pPr>
        <w:pStyle w:val="Heading1"/>
      </w:pPr>
      <w:r>
        <w:t>方案落地与银行应用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891"/>
        <w:gridCol w:w="3855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输出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银行使用环节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授信方向（收紧／维持／放宽）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授信审批与年度复审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与银行授信调整方向同口径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风控措施编码1—9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贷后管理与风险处置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与官方九类措施一一对应，按证据排序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核心环节与本企业定位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贷前调查与供应链融资准入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识别链主与上下游位置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逐跳依赖分与节点风险值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尽调重点与风险排序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定位需重点核查的强依赖环节与最高风险节点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传导金额与压力情景</w:t>
            </w:r>
          </w:p>
        </w:tc>
        <w:tc>
          <w:tcPr>
            <w:tcW w:type="dxa" w:w="289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限额测算与预警阈值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按显式指定的担保损失率、应收减值率变化测算损失额</w:t>
            </w:r>
          </w:p>
        </w:tc>
      </w:tr>
    </w:tbl>
    <w:p>
      <w:pPr>
        <w:spacing w:after="20"/>
      </w:pPr>
    </w:p>
    <w:p>
      <w:r>
        <w:t>输出为XLSX、CSV与JSON批量文件。授信方向与措施可联查触发规则及输入记录，产业链分析附来源页码；可通过字段映射接入贷后预警与授信复审流程并保留审查留痕。全部计算在单机离线完成，可按季度或按需批量重跑。模型结果作为审查建议进入流程，由有权审批人决策。</w:t>
      </w:r>
    </w:p>
    <w:p>
      <w:pPr>
        <w:pStyle w:val="Heading1"/>
      </w:pPr>
      <w:r>
        <w:t>模型优缺点分析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9"/>
        <w:gridCol w:w="4144"/>
        <w:gridCol w:w="4144"/>
      </w:tblGrid>
      <w:tr>
        <w:trPr>
          <w:cantSplit/>
          <w:tblHeader/>
        </w:trPr>
        <w:tc>
          <w:tcPr>
            <w:tcW w:type="dxa" w:w="1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方面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优势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局限与改进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可解释性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披露事实、触发规则、结构判断与情景算式分别可核查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规则阈值是建模假设；接入银行历史授信与违约数据后可做监督校准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数据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官方六类数据与年报、投入产出结构融合，时点与单位受闸门约束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公开年报存在披露滞后，BOM、合同与账龄等企业内部数据不可得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量化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依赖档位参照官方案例设置，传导金额来自年报复算与压力情景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多数跳的份额档位为结构推断，压力参数为说明性假设；接入行内交易流水后可估计真实份额与转价率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稳定性与复现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成品可由包内冻结输入一条命令复现，必需输入与契约错误显式失败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决赛批无逐户标签，行业分组样本量有限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应用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输出字段即银行授信口径，可批量导入现有流程</w:t>
            </w:r>
          </w:p>
        </w:tc>
        <w:tc>
          <w:tcPr>
            <w:tcW w:type="dxa" w:w="414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当前为批量文件接口；实时监测需接入行情与信用数据流</w:t>
            </w:r>
          </w:p>
        </w:tc>
      </w:tr>
    </w:tbl>
    <w:p>
      <w:pPr>
        <w:spacing w:after="20"/>
      </w:pPr>
    </w:p>
    <w:p>
      <w:pPr>
        <w:pStyle w:val="Heading1"/>
      </w:pPr>
      <w:r>
        <w:t>代码结构与运行环境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7228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目录</w:t>
            </w:r>
          </w:p>
        </w:tc>
        <w:tc>
          <w:tcPr>
            <w:tcW w:type="dxa" w:w="72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2F3"/>
          </w:tcPr>
          <w:p>
            <w:pPr>
              <w:keepNext/>
              <w:spacing w:after="40" w:before="40" w:line="259" w:lineRule="auto"/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src\stage2</w:t>
            </w:r>
          </w:p>
        </w:tc>
        <w:tc>
          <w:tcPr>
            <w:tcW w:type="dxa" w:w="72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产业链规格、投影与校验、绘图、工作簿装配、定量复算与本文生成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19"/>
              </w:rPr>
              <w:t>data_stage2</w:t>
            </w:r>
          </w:p>
        </w:tc>
        <w:tc>
          <w:tcPr>
            <w:tcW w:type="dxa" w:w="72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来源登记与原文摘录、复算输入与情景参数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upstream_stage1</w:t>
            </w:r>
          </w:p>
        </w:tc>
        <w:tc>
          <w:tcPr>
            <w:tcW w:type="dxa" w:w="72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阶段一源码、冻结输入与血缘记录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package_tools</w:t>
            </w:r>
          </w:p>
        </w:tc>
        <w:tc>
          <w:tcPr>
            <w:tcW w:type="dxa" w:w="72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复现入口、隔离执行与完整性校验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output、reference</w:t>
            </w:r>
          </w:p>
        </w:tc>
        <w:tc>
          <w:tcPr>
            <w:tcW w:type="dxa" w:w="72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9"/>
              </w:rPr>
              <w:t>参考成品与参考图，用于逐项比对</w:t>
            </w:r>
          </w:p>
        </w:tc>
      </w:tr>
    </w:tbl>
    <w:p>
      <w:pPr>
        <w:spacing w:after="20"/>
      </w:pPr>
    </w:p>
    <w:p>
      <w:r>
        <w:t>运行环境为Windows AMD64与Python 3.10，依赖按锁文件精确安装（numpy 1.26.4、pandas 2.3.3、scikit-learn 1.2.1、openpyxl 3.1.5、matplotlib 3.10.9、python-docx 1.2.0等），绘图使用已安装的中文字体。在全新解压目录打开PowerShell执行以下命令：</w:t>
      </w:r>
    </w:p>
    <w:p>
      <w:pPr>
        <w:spacing w:after="80"/>
      </w:pPr>
      <w:r>
        <w:rPr>
          <w:rFonts w:ascii="Consolas" w:hAnsi="Consolas"/>
          <w:sz w:val="16"/>
        </w:rPr>
        <w:t>$env:PYTHONPATH = $null</w:t>
      </w:r>
    </w:p>
    <w:p>
      <w:pPr>
        <w:spacing w:after="80"/>
      </w:pPr>
      <w:r>
        <w:rPr>
          <w:rFonts w:ascii="Consolas" w:hAnsi="Consolas"/>
          <w:sz w:val="16"/>
        </w:rPr>
        <w:t>python -I -B -X utf8 package_tools\reproduce.py --root .</w:t>
      </w:r>
    </w:p>
    <w:p>
      <w:r>
        <w:t>命令依次校验文件清单与参考环境，重算阶段一财务列并执行模型与审议，再完成阶段二绘图、装表、定量复算及本文重建，最后逐项比对成品，成功时显示PASS。</w:t>
      </w:r>
    </w:p>
    <w:p>
      <w:pPr>
        <w:pStyle w:val="Heading1"/>
      </w:pPr>
      <w:r>
        <w:t>来源索引</w:t>
      </w:r>
    </w:p>
    <w:p>
      <w:pPr>
        <w:spacing w:after="100"/>
      </w:pPr>
      <w:r>
        <w:rPr>
          <w:sz w:val="18"/>
        </w:rPr>
        <w:t xml:space="preserve">2026-04-25  </w:t>
      </w:r>
      <w:hyperlink r:id="rId15">
        <w:r>
          <w:t>广州白云电器设备股份有限公司2025年年度报告</w:t>
        </w:r>
      </w:hyperlink>
    </w:p>
    <w:p>
      <w:pPr>
        <w:spacing w:after="100"/>
      </w:pPr>
      <w:r>
        <w:rPr>
          <w:sz w:val="18"/>
        </w:rPr>
        <w:t xml:space="preserve">2026-03-25  </w:t>
      </w:r>
      <w:hyperlink r:id="rId16">
        <w:r>
          <w:t>广州视源电子科技股份有限公司2025年年度报告</w:t>
        </w:r>
      </w:hyperlink>
    </w:p>
    <w:p>
      <w:pPr>
        <w:spacing w:after="100"/>
      </w:pPr>
      <w:r>
        <w:rPr>
          <w:sz w:val="18"/>
        </w:rPr>
        <w:t xml:space="preserve">2026-04-10  </w:t>
      </w:r>
      <w:hyperlink r:id="rId17">
        <w:r>
          <w:t>广州视声智能股份有限公司2025年年度报告</w:t>
        </w:r>
      </w:hyperlink>
    </w:p>
    <w:p>
      <w:pPr>
        <w:spacing w:after="100"/>
      </w:pPr>
      <w:r>
        <w:rPr>
          <w:sz w:val="18"/>
        </w:rPr>
        <w:t xml:space="preserve">2026-04-28  </w:t>
      </w:r>
      <w:hyperlink r:id="rId18">
        <w:r>
          <w:t>广东海大集团股份有限公司2025年年度报告</w:t>
        </w:r>
      </w:hyperlink>
    </w:p>
    <w:p>
      <w:pPr>
        <w:spacing w:after="100"/>
      </w:pPr>
      <w:r>
        <w:rPr>
          <w:sz w:val="18"/>
        </w:rPr>
        <w:t xml:space="preserve">2026-03-28  </w:t>
      </w:r>
      <w:hyperlink r:id="rId19">
        <w:r>
          <w:t>广州海格通信集团股份有限公司2025年年度报告</w:t>
        </w:r>
      </w:hyperlink>
    </w:p>
    <w:p>
      <w:pPr>
        <w:spacing w:after="100"/>
      </w:pPr>
      <w:r>
        <w:rPr>
          <w:sz w:val="18"/>
        </w:rPr>
        <w:t xml:space="preserve">2026-01-14  </w:t>
      </w:r>
      <w:hyperlink r:id="rId20">
        <w:r>
          <w:t>2026年1月上旬流通领域重要生产资料市场价格变动情况</w:t>
        </w:r>
      </w:hyperlink>
    </w:p>
    <w:p>
      <w:pPr>
        <w:spacing w:after="100"/>
      </w:pPr>
      <w:r>
        <w:rPr>
          <w:sz w:val="18"/>
        </w:rPr>
        <w:t xml:space="preserve">2026-06-24  </w:t>
      </w:r>
      <w:hyperlink r:id="rId21">
        <w:r>
          <w:t>2026年6月中旬流通领域重要生产资料市场价格变动情况</w:t>
        </w:r>
      </w:hyperlink>
    </w:p>
    <w:p>
      <w:pPr>
        <w:spacing w:after="100"/>
      </w:pPr>
      <w:r>
        <w:rPr>
          <w:sz w:val="18"/>
        </w:rPr>
        <w:t xml:space="preserve">2026-06-16  </w:t>
      </w:r>
      <w:hyperlink r:id="rId22">
        <w:r>
          <w:t>5月份国民经济运行总体平稳</w:t>
        </w:r>
      </w:hyperlink>
    </w:p>
    <w:p>
      <w:pPr>
        <w:spacing w:after="100"/>
      </w:pPr>
      <w:r>
        <w:rPr>
          <w:sz w:val="18"/>
        </w:rPr>
        <w:t xml:space="preserve">2026-01-29  </w:t>
      </w:r>
      <w:hyperlink r:id="rId23">
        <w:r>
          <w:t>Surging Memory, Panel, and Precious Metal Prices Weigh on TV Brand Profitability; 2026 Global Shipments Face Further Downward Revision, Says TrendForce</w:t>
        </w:r>
      </w:hyperlink>
    </w:p>
    <w:p>
      <w:pPr>
        <w:spacing w:after="100"/>
      </w:pPr>
      <w:r>
        <w:rPr>
          <w:sz w:val="18"/>
        </w:rPr>
        <w:t xml:space="preserve">2026-02-02  </w:t>
      </w:r>
      <w:hyperlink r:id="rId24">
        <w:r>
          <w:t>Memory Price Outlook for 1Q26 Sharply Upgraded; QoQ Increases of All Product Categories to Hit Record Highs, Says TrendForce</w:t>
        </w:r>
      </w:hyperlink>
    </w:p>
    <w:p>
      <w:pPr>
        <w:spacing w:after="100"/>
      </w:pPr>
      <w:r>
        <w:rPr>
          <w:sz w:val="18"/>
        </w:rPr>
        <w:t xml:space="preserve">2026-04-25  </w:t>
      </w:r>
      <w:hyperlink r:id="rId25">
        <w:r>
          <w:t>广州海格通信集团股份有限公司2026年第一季度报告</w:t>
        </w:r>
      </w:hyperlink>
    </w:p>
    <w:sectPr w:rsidR="00FC693F" w:rsidRPr="0006063C" w:rsidSect="00034616">
      <w:footerReference w:type="default" r:id="rId9"/>
      <w:pgSz w:w="11906" w:h="16838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黑体" w:hAnsi="黑体" w:eastAsia="黑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static.cninfo.com.cn/finalpage/2026-04-25/1225181306.PDF" TargetMode="External"/><Relationship Id="rId16" Type="http://schemas.openxmlformats.org/officeDocument/2006/relationships/hyperlink" Target="https://static.cninfo.com.cn/finalpage/2026-03-25/1225029186.PDF" TargetMode="External"/><Relationship Id="rId17" Type="http://schemas.openxmlformats.org/officeDocument/2006/relationships/hyperlink" Target="https://static.cninfo.com.cn/finalpage/2026-04-10/1225095949.PDF" TargetMode="External"/><Relationship Id="rId18" Type="http://schemas.openxmlformats.org/officeDocument/2006/relationships/hyperlink" Target="https://static.cninfo.com.cn/finalpage/2026-04-28/1225203635.PDF" TargetMode="External"/><Relationship Id="rId19" Type="http://schemas.openxmlformats.org/officeDocument/2006/relationships/hyperlink" Target="https://static.cninfo.com.cn/finalpage/2026-03-28/1225044009.PDF" TargetMode="External"/><Relationship Id="rId20" Type="http://schemas.openxmlformats.org/officeDocument/2006/relationships/hyperlink" Target="https://www.stats.gov.cn/sj/zxfb/202601/t20260113_1962302.html" TargetMode="External"/><Relationship Id="rId21" Type="http://schemas.openxmlformats.org/officeDocument/2006/relationships/hyperlink" Target="https://www.stats.gov.cn/sj/zxfb/202606/t20260623_1963989.html" TargetMode="External"/><Relationship Id="rId22" Type="http://schemas.openxmlformats.org/officeDocument/2006/relationships/hyperlink" Target="https://www.stats.gov.cn/sj/zxfb/202606/t20260616_1963954.html" TargetMode="External"/><Relationship Id="rId23" Type="http://schemas.openxmlformats.org/officeDocument/2006/relationships/hyperlink" Target="https://www.trendforce.com/presscenter/news/20260129-12904.html" TargetMode="External"/><Relationship Id="rId24" Type="http://schemas.openxmlformats.org/officeDocument/2006/relationships/hyperlink" Target="https://www.trendforce.com/presscenter/news/20260202-12911.html" TargetMode="External"/><Relationship Id="rId25" Type="http://schemas.openxmlformats.org/officeDocument/2006/relationships/hyperlink" Target="https://static.cninfo.com.cn/finalpage/2026-04-25/122518391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产业链风险传导与授信策略模型说明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