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产业链风险与授信分析示例</w:t>
      </w:r>
    </w:p>
    <w:p>
      <w:r>
        <w:t>演示数据，企业与数值为合成输入。评估基准日：2026-06-30。</w:t>
      </w:r>
    </w:p>
    <w:p>
      <w:pPr>
        <w:pStyle w:val="Heading1"/>
      </w:pPr>
      <w:r>
        <w:t>授信模型结果</w:t>
      </w:r>
    </w:p>
    <w:p>
      <w:pPr>
        <w:keepNext/>
      </w:pPr>
      <w:r>
        <w:t>风险分采用原参赛规则的绝对刻度。缺失输入保留在明细中，不能据此认定没有风险。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1928"/>
        <w:gridCol w:w="964"/>
        <w:gridCol w:w="850"/>
        <w:gridCol w:w="1020"/>
        <w:gridCol w:w="3912"/>
      </w:tblGrid>
      <w:tr>
        <w:trPr>
          <w:tblHeader/>
          <w:cantSplit/>
        </w:trPr>
        <w:tc>
          <w:tcPr>
            <w:tcW w:type="dxa" w:w="96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928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企业</w:t>
            </w:r>
          </w:p>
        </w:tc>
        <w:tc>
          <w:tcPr>
            <w:tcW w:type="dxa" w:w="96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模型方向</w:t>
            </w:r>
          </w:p>
        </w:tc>
        <w:tc>
          <w:tcPr>
            <w:tcW w:type="dxa" w:w="850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风险分</w:t>
            </w:r>
          </w:p>
        </w:tc>
        <w:tc>
          <w:tcPr>
            <w:tcW w:type="dxa" w:w="1020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输入状态</w:t>
            </w:r>
          </w:p>
        </w:tc>
        <w:tc>
          <w:tcPr>
            <w:tcW w:type="dxa" w:w="3912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风控建议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SYN001</w:t>
            </w:r>
          </w:p>
        </w:tc>
        <w:tc>
          <w:tcPr>
            <w:tcW w:type="dxa" w:w="19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示例装备科技</w:t>
            </w:r>
          </w:p>
        </w:tc>
        <w:tc>
          <w:tcPr>
            <w:tcW w:type="dxa" w:w="9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放宽</w:t>
            </w:r>
          </w:p>
        </w:tc>
        <w:tc>
          <w:tcPr>
            <w:tcW w:type="dxa" w:w="85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19.6</w:t>
            </w:r>
          </w:p>
        </w:tc>
        <w:tc>
          <w:tcPr>
            <w:tcW w:type="dxa" w:w="10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输入已齐</w:t>
            </w:r>
          </w:p>
        </w:tc>
        <w:tc>
          <w:tcPr>
            <w:tcW w:type="dxa" w:w="391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无新增措施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SYN002</w:t>
            </w:r>
          </w:p>
        </w:tc>
        <w:tc>
          <w:tcPr>
            <w:tcW w:type="dxa" w:w="1928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示例制造乙</w:t>
            </w:r>
          </w:p>
        </w:tc>
        <w:tc>
          <w:tcPr>
            <w:tcW w:type="dxa" w:w="96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收紧</w:t>
            </w:r>
          </w:p>
        </w:tc>
        <w:tc>
          <w:tcPr>
            <w:tcW w:type="dxa" w:w="850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19.6</w:t>
            </w:r>
          </w:p>
        </w:tc>
        <w:tc>
          <w:tcPr>
            <w:tcW w:type="dxa" w:w="1020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输入已齐</w:t>
            </w:r>
          </w:p>
        </w:tc>
        <w:tc>
          <w:tcPr>
            <w:tcW w:type="dxa" w:w="3912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调低信用评级；追加或更换抵押物；缩短贷款期限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SYN003</w:t>
            </w:r>
          </w:p>
        </w:tc>
        <w:tc>
          <w:tcPr>
            <w:tcW w:type="dxa" w:w="19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示例信息不足企业</w:t>
            </w:r>
          </w:p>
        </w:tc>
        <w:tc>
          <w:tcPr>
            <w:tcW w:type="dxa" w:w="9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维持</w:t>
            </w:r>
          </w:p>
        </w:tc>
        <w:tc>
          <w:tcPr>
            <w:tcW w:type="dxa" w:w="85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26.64</w:t>
            </w:r>
          </w:p>
        </w:tc>
        <w:tc>
          <w:tcPr>
            <w:tcW w:type="dxa" w:w="10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需复核</w:t>
            </w:r>
          </w:p>
        </w:tc>
        <w:tc>
          <w:tcPr>
            <w:tcW w:type="dxa" w:w="391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无新增措施</w:t>
            </w:r>
          </w:p>
        </w:tc>
      </w:tr>
    </w:tbl>
    <w:p>
      <w:pPr>
        <w:pStyle w:val="Heading1"/>
      </w:pPr>
      <w:r>
        <w:t>SYN001 决策依据</w:t>
      </w:r>
    </w:p>
    <w:p>
      <w:pPr>
        <w:keepNext w:val="0"/>
      </w:pPr>
      <w:r>
        <w:t>触发规则：未命中收紧规则。</w:t>
      </w:r>
    </w:p>
    <w:p>
      <w:pPr>
        <w:keepNext w:val="0"/>
      </w:pPr>
      <w:r>
        <w:t>未通过的放宽条件：无。</w:t>
      </w:r>
    </w:p>
    <w:p>
      <w:pPr>
        <w:keepNext w:val="0"/>
      </w:pPr>
      <w:r>
        <w:t>未知输入：无。</w:t>
      </w:r>
    </w:p>
    <w:p>
      <w:pPr>
        <w:keepNext/>
      </w:pPr>
      <w:r>
        <w:t>建议证据状态：未支持新增风险措施。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主体资质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风险信号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行业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区域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54</w:t>
            </w:r>
          </w:p>
        </w:tc>
      </w:tr>
    </w:tbl>
    <w:p>
      <w:pPr>
        <w:pStyle w:val="Heading1"/>
      </w:pPr>
      <w:r>
        <w:t>SYN002 决策依据</w:t>
      </w:r>
    </w:p>
    <w:p>
      <w:pPr>
        <w:keepNext w:val="0"/>
      </w:pPr>
      <w:r>
        <w:t>触发规则：转亏叠加高杠杆；多期亏损叠加高杠杆；付息不足与短债缺口并存。</w:t>
      </w:r>
    </w:p>
    <w:p>
      <w:pPr>
        <w:keepNext w:val="0"/>
      </w:pPr>
      <w:r>
        <w:t>未通过的放宽条件：存在财务收紧信号；近三年存在亏损；当期盈利条件未满足；盈利出现明显下降；高杠杆下缺少充分付息覆盖。</w:t>
      </w:r>
    </w:p>
    <w:p>
      <w:pPr>
        <w:keepNext w:val="0"/>
      </w:pPr>
      <w:r>
        <w:t>未知输入：无。</w:t>
      </w:r>
    </w:p>
    <w:p>
      <w:pPr>
        <w:keepNext/>
      </w:pPr>
      <w:r>
        <w:t>建议证据状态：基于公开信号提出研究性措施。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主体资质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风险信号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行业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区域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54</w:t>
            </w:r>
          </w:p>
        </w:tc>
      </w:tr>
    </w:tbl>
    <w:p>
      <w:pPr>
        <w:pStyle w:val="Heading1"/>
      </w:pPr>
      <w:r>
        <w:t>SYN003 决策依据</w:t>
      </w:r>
    </w:p>
    <w:p>
      <w:pPr>
        <w:keepNext w:val="0"/>
      </w:pPr>
      <w:r>
        <w:t>触发规则：未命中收紧规则。</w:t>
      </w:r>
    </w:p>
    <w:p>
      <w:pPr>
        <w:keepNext w:val="0"/>
      </w:pPr>
      <w:r>
        <w:t>未通过的放宽条件：缺少实缴披露；缺少可核验财务资料；实缴比例未满足条件；用工证据未满足条件。</w:t>
      </w:r>
    </w:p>
    <w:p>
      <w:pPr>
        <w:keepNext w:val="0"/>
      </w:pPr>
      <w:r>
        <w:t>未知输入：出口冲击、行业成本冲击、行业事件、行业政策、区域增速、财务资料、参保人数、实缴资本、近一年经营异常次数、近一年被执行次数、失信查询、严重违法查询、近一年处罚次数、近一年强处罚次数。</w:t>
      </w:r>
    </w:p>
    <w:p>
      <w:pPr>
        <w:keepNext/>
      </w:pPr>
      <w:r>
        <w:t>建议证据状态：证据不足。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主体资质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风险信号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行业</w:t>
            </w:r>
          </w:p>
        </w:tc>
        <w:tc>
          <w:tcPr>
            <w:tcW w:type="dxa" w:w="24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区域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24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54</w:t>
            </w:r>
          </w:p>
        </w:tc>
      </w:tr>
    </w:tbl>
    <w:p>
      <w:pPr>
        <w:pStyle w:val="Heading1"/>
      </w:pPr>
      <w:r>
        <w:t>原料涨价对终端的成本影响</w:t>
      </w:r>
    </w:p>
    <w:p>
      <w:pPr>
        <w:keepNext w:val="0"/>
      </w:pPr>
      <w:r>
        <w:t>产业链关系识别：演示原料 → 演示加工 → 演示终端</w:t>
        <w:br/>
        <w:t>目标企业所在环节：演示终端</w:t>
        <w:br/>
        <w:t>核心环节：演示终端（演示终端组织订单并影响合同价格。）</w:t>
        <w:br/>
        <w:t>本企业定位：演示终端（即核心环节）</w:t>
      </w:r>
    </w:p>
    <w:p>
      <w:pPr>
        <w:keepNext w:val="0"/>
      </w:pPr>
      <w:r>
        <w:t>风险传导路径（正向传导）：演示原料 → 演示加工 → 演示终端</w:t>
        <w:br/>
        <w:t>逐跳依赖强度：演示原料→演示加工 中依赖55分（结构推断）；演示加工→演示终端 弱依赖45分（结构推断）</w:t>
      </w:r>
    </w:p>
    <w:p>
      <w:pPr>
        <w:keepNext w:val="0"/>
      </w:pPr>
      <w:r>
        <w:t>情景参数：源头价格上涨10%，转嫁率30%，源头价格影响系数0.44。</w:t>
      </w:r>
    </w:p>
    <w:p>
      <w:pPr>
        <w:keepNext w:val="0"/>
      </w:pPr>
      <w:r>
        <w:t>对目标企业的传导影响：终端在给定转嫁条件下吸收部分原料涨价成本，付息缓冲随之减少。</w:t>
      </w:r>
    </w:p>
    <w:p>
      <w:pPr>
        <w:keepNext/>
      </w:pPr>
      <w:r>
        <w:t>中度脆弱：源头涨价三成以内击穿利息覆盖（临界涨幅 19.48%，传导弹性 0.308 pp/pp（成本增量/营收），冲击前利息保障 5.00 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情景指标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新增成本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0.616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冲击前 EBIT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1.5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冲击后 EBIT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0.884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冲击前利息保障倍数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冲击后利息保障倍数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2.95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临界冲击幅度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19.48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%</w:t>
            </w:r>
          </w:p>
        </w:tc>
      </w:tr>
    </w:tbl>
    <w:p>
      <w:pPr>
        <w:pStyle w:val="Heading1"/>
      </w:pPr>
      <w:r>
        <w:t>原料涨价对终端的成本影响的节点比较</w:t>
      </w:r>
    </w:p>
    <w:p>
      <w:pPr>
        <w:keepNext/>
      </w:pPr>
      <w:r>
        <w:t>风险节点判断：▲最高＝演示加工（风险值64：演示加工环节替代和调价较慢。）；▼最低＝演示终端（风险值8：演示终端有订单结构调整余地。）。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节点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影响范围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不可替代性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传导后果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演示原料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演示加工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演示终端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</w:tbl>
    <w:p>
      <w:pPr>
        <w:pStyle w:val="Heading1"/>
      </w:pPr>
      <w:r>
        <w:t>终端需求收缩与利润影响边界</w:t>
      </w:r>
    </w:p>
    <w:p>
      <w:pPr>
        <w:keepNext w:val="0"/>
      </w:pPr>
      <w:r>
        <w:t>产业链关系识别：演示原料 → 演示加工 → 演示终端</w:t>
        <w:br/>
        <w:t>目标企业所在环节：演示加工</w:t>
        <w:br/>
        <w:t>核心环节：演示终端（演示终端组织订单并影响合同价格。）</w:t>
        <w:br/>
        <w:t>本企业定位：演示加工（位于核心环节上游）</w:t>
      </w:r>
    </w:p>
    <w:p>
      <w:pPr>
        <w:keepNext w:val="0"/>
      </w:pPr>
      <w:r>
        <w:t>风险传导路径（逆向传导）：演示终端 → 演示加工 → 演示原料</w:t>
        <w:br/>
        <w:t>逐跳依赖强度：演示终端→演示加工 中依赖55分（结构推断）；演示加工→演示原料 弱依赖45分（结构推断）</w:t>
      </w:r>
    </w:p>
    <w:p>
      <w:pPr>
        <w:keepNext w:val="0"/>
      </w:pPr>
      <w:r>
        <w:t>情景参数：需求下降20%，销售份额40%，贡献率未知。</w:t>
      </w:r>
    </w:p>
    <w:p>
      <w:pPr>
        <w:keepNext w:val="0"/>
      </w:pPr>
      <w:r>
        <w:t>对目标企业的传导影响：终端订单减少沿采购关系传导；贡献率未知时，只能量化收入变化。</w:t>
      </w:r>
    </w:p>
    <w:p>
      <w:pPr>
        <w:keepNext/>
      </w:pPr>
      <w:r>
        <w:t>风险收入 4.0000 亿元，情景收入下降 0.8000 亿元；贡献率未知，EBIT 与冲击后利息覆盖影响未量化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情景指标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收入下降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0.8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EBIT 损失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未量化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冲击前 EBIT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冲击后 EBIT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未量化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冲击前利息保障倍数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0.67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冲击后利息保障倍数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未量化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临界冲击幅度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未量化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%</w:t>
            </w:r>
          </w:p>
        </w:tc>
      </w:tr>
    </w:tbl>
    <w:p>
      <w:pPr>
        <w:pStyle w:val="Heading1"/>
      </w:pPr>
      <w:r>
        <w:t>终端需求收缩与利润影响边界的节点比较</w:t>
      </w:r>
    </w:p>
    <w:p>
      <w:pPr>
        <w:keepNext/>
      </w:pPr>
      <w:r>
        <w:t>风险节点判断：▲最高＝演示加工（风险值64：演示加工环节替代和调价较慢。）；▼最低＝演示终端（风险值8：演示终端有订单结构调整余地。）。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节点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影响范围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不可替代性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传导后果</w:t>
            </w:r>
          </w:p>
        </w:tc>
        <w:tc>
          <w:tcPr>
            <w:tcW w:type="dxa" w:w="1814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风险值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演示原料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演示加工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演示终端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</w:tbl>
    <w:p>
      <w:pPr>
        <w:pStyle w:val="Heading1"/>
      </w:pPr>
      <w:r>
        <w:t>铜价变化与成本吸收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每百元基期收入吸收成本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1.152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元/百元基期收入</w:t>
            </w:r>
          </w:p>
        </w:tc>
      </w:tr>
    </w:tbl>
    <w:p>
      <w:pPr>
        <w:pStyle w:val="Heading1"/>
      </w:pPr>
      <w:r>
        <w:t>采购组合中的价格对冲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采购组合成本变化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%</w:t>
            </w:r>
          </w:p>
        </w:tc>
      </w:tr>
    </w:tbl>
    <w:p>
      <w:pPr>
        <w:pStyle w:val="Heading1"/>
      </w:pPr>
      <w:r>
        <w:t>板卡与整机的同批成本分配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板卡转嫁率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%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品牌转嫁率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%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板卡吸收额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元/同批一板一机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品牌吸收额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元/同批一板一机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下游承接额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元/同批一板一机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品牌与板卡吸收差额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元/同批一板一机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比较结论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品牌吸收较多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pStyle w:val="Heading1"/>
      </w:pPr>
      <w:r>
        <w:t>产品与地区收入的可识别区间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381"/>
        <w:gridCol w:w="3061"/>
      </w:tblGrid>
      <w:tr>
        <w:trPr>
          <w:tblHeader/>
          <w:cantSplit/>
        </w:trPr>
        <w:tc>
          <w:tcPr>
            <w:tcW w:type="dxa" w:w="4195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8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06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交叉收入下界</w:t>
            </w:r>
          </w:p>
        </w:tc>
        <w:tc>
          <w:tcPr>
            <w:tcW w:type="dxa" w:w="238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306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与输入收入相同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交叉收入上界</w:t>
            </w:r>
          </w:p>
        </w:tc>
        <w:tc>
          <w:tcPr>
            <w:tcW w:type="dxa" w:w="238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306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与输入收入相同</w:t>
            </w:r>
          </w:p>
        </w:tc>
      </w:tr>
    </w:tbl>
    <w:p>
      <w:pPr>
        <w:pStyle w:val="Heading1"/>
      </w:pPr>
      <w:r>
        <w:t>投入产出计算</w:t>
      </w:r>
    </w:p>
    <w:p>
      <w:pPr>
        <w:keepNext w:val="0"/>
      </w:pPr>
      <w:r>
        <w:t>A[i,j] = 行业j每单位产出直接消耗的行业i投入</w:t>
      </w:r>
    </w:p>
    <w:p>
      <w:pPr>
        <w:keepNext/>
      </w:pPr>
      <w:r>
        <w:t>固定源头产品价格，其他行业按投入成本变化求解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行业</w:t>
            </w:r>
          </w:p>
        </w:tc>
        <w:tc>
          <w:tcPr>
            <w:tcW w:type="dxa" w:w="481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源头价格变化系数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原料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加工</w:t>
            </w:r>
          </w:p>
        </w:tc>
        <w:tc>
          <w:tcPr>
            <w:tcW w:type="dxa" w:w="481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0.5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替代环节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终端</w:t>
            </w:r>
          </w:p>
        </w:tc>
        <w:tc>
          <w:tcPr>
            <w:tcW w:type="dxa" w:w="481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0.44</w:t>
            </w:r>
          </w:p>
        </w:tc>
      </w:tr>
    </w:tbl>
    <w:p>
      <w:pPr>
        <w:pStyle w:val="Heading1"/>
      </w:pPr>
      <w:r>
        <w:t>来源与适用边界</w:t>
      </w:r>
    </w:p>
    <w:p>
      <w:pPr>
        <w:keepNext w:val="0"/>
      </w:pPr>
      <w:r>
        <w:t>核对随输入提供的内容指纹、日期及引用；未在线认证来源真实性</w:t>
      </w:r>
    </w:p>
    <w:p>
      <w:pPr>
        <w:keepNext/>
      </w:pPr>
      <w:r>
        <w:t>分数、路径暴露与情景金额均不等于违约概率；合成案例不表示实际参赛结果或银行决定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701"/>
        <w:gridCol w:w="6009"/>
      </w:tblGrid>
      <w:tr>
        <w:trPr>
          <w:tblHeader/>
          <w:cantSplit/>
        </w:trPr>
        <w:tc>
          <w:tcPr>
            <w:tcW w:type="dxa" w:w="1928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701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公开日期</w:t>
            </w:r>
          </w:p>
        </w:tc>
        <w:tc>
          <w:tcPr>
            <w:tcW w:type="dxa" w:w="6009"/>
            <w:vAlign w:val="center"/>
            <w:shd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链接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source-SYN001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2026-03-01</w:t>
            </w:r>
          </w:p>
        </w:tc>
        <w:tc>
          <w:tcPr>
            <w:tcW w:type="dxa" w:w="60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https://example.org/synthetic/source-SYN001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source-SYN002</w:t>
            </w:r>
          </w:p>
        </w:tc>
        <w:tc>
          <w:tcPr>
            <w:tcW w:type="dxa" w:w="170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2026-03-01</w:t>
            </w:r>
          </w:p>
        </w:tc>
        <w:tc>
          <w:tcPr>
            <w:tcW w:type="dxa" w:w="600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https://example.org/synthetic/source-SYN002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source-SYN003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2026-03-01</w:t>
            </w:r>
          </w:p>
        </w:tc>
        <w:tc>
          <w:tcPr>
            <w:tcW w:type="dxa" w:w="600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https://example.org/synthetic/source-SYN003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source-model</w:t>
            </w:r>
          </w:p>
        </w:tc>
        <w:tc>
          <w:tcPr>
            <w:tcW w:type="dxa" w:w="1701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2026-03-01</w:t>
            </w:r>
          </w:p>
        </w:tc>
        <w:tc>
          <w:tcPr>
            <w:tcW w:type="dxa" w:w="6009"/>
            <w:vAlign w:val="center"/>
            <w:shd w:fill="F4F7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9"/>
              </w:rPr>
              <w:t>https://example.org/synthetic/source-model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Hokkaidoooo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