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36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ИНДИВИДУАЛЬНОЕ ЗАДАНИЕ</w:t>
      </w:r>
    </w:p>
    <w:p>
      <w:pPr>
        <w:pStyle w:val="Heading2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ФГБОУ ВО «КУБАНСКИЙ ГОСУДАРСТВЕННЫЙ УНИВЕРСИТЕТ»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Факультет: Физико-технический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Кафедра: Теоретической физики и компьютерных технологий</w:t>
      </w:r>
    </w:p>
    <w:p>
      <w:pPr>
        <w:pStyle w:val="Heading2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ИНДИВИДУАЛЬНОЕ ЗАДАНИЕ, ВЫПОЛНЯЕМОЕ В ПЕРИОД ПРОВЕДЕНИЯ производственной (преддипломной) практики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Студент: Ачмиз Юрий Муратович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Направление подготовки: 09.03.02 Информационные системы и технологии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Курс: 4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Место прохождения практики: ФГБОУ ВО «КубГУ»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Срок прохождения практики: 29.04.2026 – 15.05.2026</w:t>
      </w:r>
    </w:p>
    <w:p>
      <w:pPr>
        <w:pStyle w:val="Heading2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Цель практики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Получение первичных профессиональных умений и навыков в организационно-управленческой и научно-исследовательской деятельности, формирование следующих компетенций, регламентируемых ФГОС ВО: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способность проводить научные исследования при разработке, внедрении и сопровождении информационных технологий и систем на всех этапах жизненного цикла (ПК-1);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способность разрабатывать системное и прикладное программное обеспечение (ПО), включая проектирование, отладку, проверку работоспособности и модификацию ПО (ПК-2);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способность обеспечения эффективной работы баз данных, включая развертывание, сопровождение, оптимизацию функционирования баз данных, являющихся частью различных информационных систем (ПК-3);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способность создания (модификации) и сопровождения информационных систем (ИС), автоматизирующих задачи организационного управления и бизнес-процессы в организациях различных форм собственности с целью повышения эффективности деятельности организаций — пользователей ИС (ПК-4);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способность обеспечивать требуемый качественный бесперебойный режим работы инфокоммуникационной системы (ПК-5);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способность выполнять концептуальное, функциональное и логическое проектирование систем среднего и крупного масштаба и сложности (ПК-6).</w:t>
      </w:r>
    </w:p>
    <w:p>
      <w:pPr>
        <w:pStyle w:val="Heading2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Перечень вопросов (заданий, поручений) для прохождения практики</w:t>
      </w:r>
    </w:p>
    <w:p>
      <w:pPr>
        <w:pStyle w:val="Heading3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30"/>
        </w:rPr>
        <w:t>1) в части научно-исследовательской деятельности: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 существующих подходов к тестированию и мониторингу веб-сервисов: классическая тестовая пирамида, культура Site Reliability Engineering, наблюдаемость (observability), Chaos Engineering и метод fault injection, ex-vivo тестирование, специфика LLM-агентных систем с инструментальным вызовом;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систематизация ограничений существующих подходов применительно к LLM-агентным веб-сервисам и формулировка гипотезы о существовании класса «невидимых» семантических сбоев;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разработка матричной экспериментальной конструкции 4 × 3 (режимы тестирования A0–A3 × уровни наблюдаемости O0–O2) для количественного сравнения методов обнаружения дефектов;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подготовка плана дальнейших экспериментов (инфраструктурного и LLM-специфического), которые будут проведены в рамках выпускной квалификационной работы.</w:t>
      </w:r>
    </w:p>
    <w:p>
      <w:pPr>
        <w:pStyle w:val="Heading3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30"/>
        </w:rPr>
        <w:t>2) в части организационно-управленческой деятельности: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сбор, анализ научно-технической информации, отечественного и зарубежного опыта по тематике исследования; формирование списка источников по теме «Мониторинг и тестирование веб-сервисов»;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описание объекта исследования — производственного микросервиса RTK Agent — как реальной системы с LLM-агентом, MCP-инструментами и RAG-компонентом, используемой в рабочем процессе технической поддержки;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разработка базового тест-сьюта (режим A0): модульные, интеграционные, контрактные и сквозные тесты; обеспечение полной воспроизводимости через in-memory хранилища;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подготовка отчёта о практике, оформленного в соответствии с методическими указаниями ФТФ КубГУ и ГОСТ 7.32–2017.</w:t>
      </w:r>
    </w:p>
    <w:p>
      <w:pPr>
        <w:pStyle w:val="Heading2"/>
        <w:keepNext/>
        <w:spacing w:before="240" w:after="24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32"/>
        </w:rPr>
        <w:t>План-график выполнения работ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233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Этапы работы (виды деятельности) при прохождении практики</w:t>
            </w:r>
          </w:p>
        </w:tc>
        <w:tc>
          <w:tcPr>
            <w:tcW w:type="dxa" w:w="233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Сроки</w:t>
            </w:r>
          </w:p>
        </w:tc>
        <w:tc>
          <w:tcPr>
            <w:tcW w:type="dxa" w:w="233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Отметка руководителя практики от университета о выполнении (подпись)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Аналитический этап: изучение литературы по теме «Мониторинг и тестирование веб-сервисов», систематизация подходов (тестовая пирамида, observability, Chaos Engineering, ex-vivo, LLM-агенты), формулировка ограничений классических методов</w:t>
            </w:r>
          </w:p>
        </w:tc>
        <w:tc>
          <w:tcPr>
            <w:tcW w:type="dxa" w:w="23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29.04.2026 – 05.05.2026</w:t>
            </w:r>
          </w:p>
        </w:tc>
        <w:tc>
          <w:tcPr>
            <w:tcW w:type="dxa" w:w="23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</w:p>
        </w:tc>
      </w:tr>
      <w:tr>
        <w:tc>
          <w:tcPr>
            <w:tcW w:type="dxa" w:w="233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Проектно-методологический этап: описание объекта исследования (RTK Agent), разработка матричной экспериментальной конструкции A0–A3 × O0–O2, проектирование уровней наблюдаемости и метода fault injection</w:t>
            </w:r>
          </w:p>
        </w:tc>
        <w:tc>
          <w:tcPr>
            <w:tcW w:type="dxa" w:w="23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06.05.2026 – 12.05.2026</w:t>
            </w:r>
          </w:p>
        </w:tc>
        <w:tc>
          <w:tcPr>
            <w:tcW w:type="dxa" w:w="23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</w:p>
        </w:tc>
      </w:tr>
      <w:tr>
        <w:tc>
          <w:tcPr>
            <w:tcW w:type="dxa" w:w="2339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3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Реализационно-отчётный этап: разработка базового тест-сьюта (режим A0), его прогон с фиксацией результатов, формулировка задач для дальнейших экспериментов в рамках ВКР, оформление отчёта о практике</w:t>
            </w:r>
          </w:p>
        </w:tc>
        <w:tc>
          <w:tcPr>
            <w:tcW w:type="dxa" w:w="23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13.05.2026 – 15.05.2026</w:t>
            </w:r>
          </w:p>
        </w:tc>
        <w:tc>
          <w:tcPr>
            <w:tcW w:type="dxa" w:w="23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</w:p>
        </w:tc>
      </w:tr>
    </w:tbl>
    <w:p>
      <w:pPr>
        <w:spacing w:after="0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Ознакомлен ___________________ Ачмиз Ю. 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(подпись студента) (расшифровка подписи)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«____» ___________ 2026 г.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Согласовано ___________________ Лебедев К. 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(подпись руководителя от КубГУ) (расшифровка подписи)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«____» ___________ 2026 г.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 w:line="360" w:lineRule="auto"/>
      <w:ind w:firstLine="709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