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1p3deok45s8t" w:id="0"/>
    <w:bookmarkEnd w:id="0"/>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МИНИСТЕРСТВО НАУКИ И ВЫСШЕГО ОБРАЗОВАНИЯ РОССИЙСКОЙ ФЕДЕРАЦИИ</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Федеральное государственное бюджетное образовательное учреждение</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высшего образования</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«КУБАНСКИЙ ГОСУДАРСТВЕННЫЙ УНИВЕРСИТЕТ»</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(ФГБОУ ВО «КубГУ»)</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Физико-технический факультет</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МЕТОДИЧЕСКИЕ  УКАЗАНИЯ  ПО  ВЫПОЛНЕНИЮ</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ВЫПУСКНОЙ  КВАЛИФИКАЦИОННОЙ  РАБОТЫ</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И  КУРСОВОГО  ПРОЕКТА</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Краснодар</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2025</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Методические указания составлены на основании положения о порядке проведения государственной итоговой аттестации по образовательным программам высшего образования (утверждено приказом Минобрнауки РФ от 29.06.2015 № 636, ред. от 27.03.2020), федеральных государственных образовательных стандартов высшего образования и нормативно-технических документов.</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УТВЕРЖДЕНО:</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Декан физико-технического факультета</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37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Е.В.Строганова</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СОГЛАСОВАНО:</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Начальник отдела управления системой менеджмента качества,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стандартизации и нормоконтроля КубГУ</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68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______________________В.В. Бондаренко</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СОГЛАСОВАНО:</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Директор научной библиотеки КубГУ</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37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М.А. Хуаде</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СОГЛАСОВАНО:</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Председатель учебно-методической</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комиссии ФТФ КубГУ</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37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Н.М. Богатов</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Составители:  Дорош В. С.,</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991.999999999999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Прохоров В. П.,</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991.999999999999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Прохорова И. А.,</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991.999999999999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Хотнянская Е. Б.</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Методические указания предназначены для использования студентами всех направлений физико-технического факультета КубГУ при выполнении курсовых проектов и выпускных квалификационных работ.</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lt13geu5y4iw" w:id="1"/>
      <w:bookmarkEnd w:id="1"/>
      <w:r w:rsidDel="00000000" w:rsidR="00000000" w:rsidRPr="00000000">
        <w:rPr>
          <w:rtl w:val="0"/>
        </w:rPr>
      </w:r>
    </w:p>
    <w:p w:rsidR="00000000" w:rsidDel="00000000" w:rsidP="00000000" w:rsidRDefault="00000000" w:rsidRPr="00000000" w14:paraId="0000004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hyperlink w:anchor="_lt13geu5y4iw">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СОДЕРЖАНИЕ</w:t>
        </w:r>
      </w:hyperlink>
      <w:r w:rsidDel="00000000" w:rsidR="00000000" w:rsidRPr="00000000">
        <w:fldChar w:fldCharType="begin"/>
        <w:instrText xml:space="preserve"> HYPERLINK \l "_lt13geu5y4iw" </w:instrText>
        <w:fldChar w:fldCharType="separate"/>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6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tl w:val="0"/>
        </w:rPr>
      </w:r>
    </w:p>
    <w:tbl>
      <w:tblPr>
        <w:tblStyle w:val="Table1"/>
        <w:tblW w:w="9356.0" w:type="dxa"/>
        <w:jc w:val="center"/>
        <w:tblLayout w:type="fixed"/>
        <w:tblLook w:val="0000"/>
      </w:tblPr>
      <w:tblGrid>
        <w:gridCol w:w="8857"/>
        <w:gridCol w:w="499"/>
        <w:tblGridChange w:id="0">
          <w:tblGrid>
            <w:gridCol w:w="8857"/>
            <w:gridCol w:w="499"/>
          </w:tblGrid>
        </w:tblGridChange>
      </w:tblGrid>
      <w:tr>
        <w:trPr>
          <w:cantSplit w:val="0"/>
          <w:tblHeader w:val="0"/>
        </w:trPr>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vm9tqhm1dbx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 . . . . . . . . . . . . . . . . . . . . . . . . . . . . . . . . . . . . . . . . . . . . . . . . . . </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w:t>
            </w:r>
          </w:p>
        </w:tc>
      </w:tr>
      <w:tr>
        <w:trPr>
          <w:cantSplit w:val="0"/>
          <w:tblHeader w:val="0"/>
        </w:trPr>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7" w:right="0" w:hanging="17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otqpwo219cy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Требования к содержанию выпускной квалификационной работы и       курсового проект</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 . . . . . . . . . . . . . . . . . . . . . . . . . . . . . . . . . . . . . . . . . . . .</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w:t>
            </w:r>
          </w:p>
        </w:tc>
      </w:tr>
      <w:tr>
        <w:trPr>
          <w:cantSplit w:val="0"/>
          <w:tblHeader w:val="0"/>
        </w:trPr>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3qg94kdn65r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Общие требования </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 . . . . . . . . . . . . . . . . . . . . . . . . . . . . . . . . . .. . . </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w:t>
            </w:r>
          </w:p>
        </w:tc>
      </w:tr>
      <w:tr>
        <w:trPr>
          <w:cantSplit w:val="0"/>
          <w:tblHeader w:val="0"/>
        </w:trPr>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1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ganj471vgyh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Титульный лист</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 . . . . . . . . . . . . . . . . . . . . . . . . . . . . . . . . . . . . .. . .</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1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rm6ezzx7v50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Реферат .</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 . . . . . . . . . . . . . . . . . . . . . . . . . . . . . . . . . . . . . . . . . . . . . </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1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b60tuguxciv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 Содержание</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 . . . . . . . . . . . . . . . . . . . . . . . . . . . . . . . . . . . . . . . . . . .</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w:t>
            </w:r>
          </w:p>
        </w:tc>
      </w:tr>
      <w:tr>
        <w:trPr>
          <w:cantSplit w:val="0"/>
          <w:tblHeader w:val="0"/>
        </w:trPr>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1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xeddbee2uqv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 Обозначения и сокращения</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 . . . . . . . . . . . . . . . . . . . . . . . . . . . . . .</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w:t>
            </w:r>
          </w:p>
        </w:tc>
      </w:tr>
      <w:tr>
        <w:trPr>
          <w:cantSplit w:val="0"/>
          <w:tblHeader w:val="0"/>
        </w:trPr>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1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gqbcqhtcead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1.6 Введение</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 . . . . . . . . . . . . . . . . . . . . . . . . . . . . . . . . . . . . . . . . . . . . . </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w:t>
            </w:r>
          </w:p>
        </w:tc>
      </w:tr>
      <w:tr>
        <w:trPr>
          <w:cantSplit w:val="0"/>
          <w:tblHeader w:val="0"/>
        </w:trPr>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1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t3gamz1v4gu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1.7 Основная часть</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 . . . . . . . . . . . . . . . . . . . . . . . . . . . . . . . . . . . . . . . .</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w:t>
            </w:r>
          </w:p>
        </w:tc>
      </w:tr>
      <w:tr>
        <w:trPr>
          <w:cantSplit w:val="0"/>
          <w:tblHeader w:val="0"/>
        </w:trPr>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1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hap2jms9et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1.8 Заключение</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 . . . . . . . . . . . . . . . . . . . . . . . . . . . . . . . . . . . . . . . . . . .</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w:t>
            </w:r>
          </w:p>
        </w:tc>
      </w:tr>
      <w:tr>
        <w:trPr>
          <w:cantSplit w:val="0"/>
          <w:tblHeader w:val="0"/>
        </w:trPr>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1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4dx111axfsr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1.9 Приложения</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 . . . . . . . . . .. . . . . . . . . . . . . . . . . . . . . . . . . . . . . . . . .</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w:t>
            </w:r>
          </w:p>
        </w:tc>
      </w:tr>
      <w:tr>
        <w:trPr>
          <w:cantSplit w:val="0"/>
          <w:tblHeader w:val="0"/>
        </w:trPr>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19" w:right="0" w:hanging="31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xbas9m7y2v6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Требования к оформлению выпускной квалификационной работы и    курсового проекта</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 . . . . . . .. . . . . . . . . . . . . . . . . . . . . . . . . . . . . . . . . . . . . .</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w:t>
            </w:r>
          </w:p>
        </w:tc>
      </w:tr>
      <w:tr>
        <w:trPr>
          <w:cantSplit w:val="0"/>
          <w:tblHeader w:val="0"/>
        </w:trPr>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1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u9ka8ivx0i7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Общие положения</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 . . . . . . . . . . . . . . . . . . . . . . . . . . . . . . . . . . . . . </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w:t>
            </w:r>
          </w:p>
        </w:tc>
      </w:tr>
      <w:tr>
        <w:trPr>
          <w:cantSplit w:val="0"/>
          <w:tblHeader w:val="0"/>
        </w:trPr>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1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rlay4e8htlm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Иллюстрации </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 . . . . . . . . . . . . . . . . . . . . . . . . . . . . . . . . . . . . . . . . </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17</w:t>
            </w:r>
          </w:p>
        </w:tc>
      </w:tr>
      <w:tr>
        <w:trPr>
          <w:cantSplit w:val="0"/>
          <w:tblHeader w:val="0"/>
        </w:trPr>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1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x2s9p21izy5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Таблицы</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 . . . . . . . . . . . . . . . . . . . . . . . . . . . . . . . . . . . . . . . . . . . . . </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18</w:t>
            </w:r>
          </w:p>
        </w:tc>
      </w:tr>
      <w:tr>
        <w:trPr>
          <w:cantSplit w:val="0"/>
          <w:tblHeader w:val="0"/>
        </w:trPr>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1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14faler3xl5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Формулы и уравнения</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 . . . . . . . . . . . . . . . . . . . . . . . . . . . . . . . . . .</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w:t>
            </w:r>
          </w:p>
        </w:tc>
      </w:tr>
      <w:tr>
        <w:trPr>
          <w:cantSplit w:val="0"/>
          <w:tblHeader w:val="0"/>
        </w:trPr>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1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bfnjn1yvhit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 Правила написания названий и обозначений единиц</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 . . . . . . . . .</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w:t>
            </w:r>
          </w:p>
        </w:tc>
      </w:tr>
      <w:tr>
        <w:trPr>
          <w:cantSplit w:val="0"/>
          <w:tblHeader w:val="0"/>
        </w:trPr>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1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k9shkycss1i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2.6 Ссылки и список использованных источников</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 . . . . . . . . . . . . . .</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w:t>
            </w:r>
          </w:p>
        </w:tc>
      </w:tr>
      <w:tr>
        <w:trPr>
          <w:cantSplit w:val="0"/>
          <w:tblHeader w:val="0"/>
        </w:trPr>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1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c1131iyxr8n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2.7 Приложения .</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 . . . . . . . . . . . . . . . . . . . . . . . . . . . . . . . . . . . . . . . . . </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w:t>
            </w:r>
          </w:p>
        </w:tc>
      </w:tr>
      <w:tr>
        <w:trPr>
          <w:cantSplit w:val="0"/>
          <w:tblHeader w:val="0"/>
        </w:trPr>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d7giea3xlku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Подготовка к защите выпускной квалификационной работы </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 . . . . .</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w:t>
            </w:r>
          </w:p>
        </w:tc>
      </w:tr>
      <w:tr>
        <w:trPr>
          <w:cantSplit w:val="0"/>
          <w:tblHeader w:val="0"/>
        </w:trPr>
        <w:tc>
          <w:tcP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1zreumuze9c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использованных источников</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 . . . . . . . . . . . . . . . . . . . . . . . . . . . </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29</w:t>
            </w:r>
          </w:p>
        </w:tc>
      </w:tr>
      <w:tr>
        <w:trPr>
          <w:cantSplit w:val="0"/>
          <w:tblHeader w:val="0"/>
        </w:trPr>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94" w:right="0" w:hanging="159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fr1aljcza7lc" w:id="2"/>
            <w:bookmarkEnd w:id="2"/>
            <w:hyperlink w:anchor="jybaxtn7dij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А Пример оформления титульного листа курсового </w:t>
              </w:r>
            </w:hyperlink>
            <w:hyperlink w:anchor="jybaxtn7dijc">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hyperlink>
            <w:hyperlink w:anchor="jybaxtn7dij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проекта</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бакалавра . . . . . . . . . . . . . . . . . . . . . . . .. . . . . . . . . .</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w:t>
            </w:r>
          </w:p>
        </w:tc>
      </w:tr>
      <w:tr>
        <w:trPr>
          <w:cantSplit w:val="0"/>
          <w:tblHeader w:val="0"/>
        </w:trPr>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94" w:right="0" w:hanging="155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jybaxtn7dij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Б </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Пример оформления титульного листа выпускной  квалификационной работы . . . . . . . . . . . . . . . . . . . . . . . . . . </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w:t>
            </w:r>
          </w:p>
        </w:tc>
      </w:tr>
      <w:tr>
        <w:trPr>
          <w:cantSplit w:val="0"/>
          <w:tblHeader w:val="0"/>
        </w:trPr>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jybaxtn7dij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В Пример оформления реферата</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 . . . . . . . . . . . . . . . . . . . .</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w:t>
            </w:r>
          </w:p>
        </w:tc>
      </w:tr>
      <w:tr>
        <w:trPr>
          <w:cantSplit w:val="0"/>
          <w:tblHeader w:val="0"/>
        </w:trPr>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ej0y4ys6wt3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Г Пример оформления содержания </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 . . . . . . . . . . . . . . . . </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w:t>
            </w:r>
          </w:p>
        </w:tc>
      </w:tr>
      <w:tr>
        <w:trPr>
          <w:cantSplit w:val="0"/>
          <w:tblHeader w:val="0"/>
        </w:trPr>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yqrja8vyzkq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Д Пример оформления списка обозначений и сокращений</w:t>
              </w:r>
            </w:hyperlink>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36</w:t>
            </w:r>
          </w:p>
        </w:tc>
      </w:tr>
      <w:tr>
        <w:trPr>
          <w:cantSplit w:val="0"/>
          <w:tblHeader w:val="0"/>
        </w:trPr>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ipxlqqj6ao4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Е Пример оформления введения</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 . . . . . . . . . . . . . . . . . . . .</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37</w:t>
            </w:r>
          </w:p>
        </w:tc>
      </w:tr>
      <w:tr>
        <w:trPr>
          <w:cantSplit w:val="0"/>
          <w:tblHeader w:val="0"/>
        </w:trPr>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94" w:right="0" w:hanging="159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Ж Пример оформления заголовков разделов, подразделов и пунктов . . . . . . . . . . . . . . . . . . . . . . . . . . . . . . . . . . . . . . . . .</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39</w:t>
            </w:r>
          </w:p>
        </w:tc>
      </w:tr>
      <w:tr>
        <w:trPr>
          <w:cantSplit w:val="0"/>
          <w:tblHeader w:val="0"/>
        </w:trPr>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k3vgo3ejv4h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И Примеры оформления рисунков</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 . . . . . . . . . . . . . . . . . .</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40</w:t>
            </w:r>
          </w:p>
        </w:tc>
      </w:tr>
      <w:tr>
        <w:trPr>
          <w:cantSplit w:val="0"/>
          <w:tblHeader w:val="0"/>
        </w:trPr>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di7n4fu9905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К Пример оформления таблицы</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 . . . . . . . . . . . . . . . . . . . .</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w:t>
            </w:r>
          </w:p>
        </w:tc>
      </w:tr>
      <w:tr>
        <w:trPr>
          <w:cantSplit w:val="0"/>
          <w:tblHeader w:val="0"/>
        </w:trPr>
        <w:tc>
          <w:tcP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rdcpdj9zj7l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Л Пример оформления заключения</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 . . . . . . . . . . . . . . . . . </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w:t>
            </w:r>
          </w:p>
        </w:tc>
      </w:tr>
      <w:tr>
        <w:trPr>
          <w:cantSplit w:val="0"/>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94" w:right="0" w:hanging="155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9ozrf2dxjhn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М Пример оформления списка использованных              источников</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 . . .  . . . . . . . . . . . . . . . . . . . . . . . . . . . . . . . . . .</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w:t>
            </w:r>
          </w:p>
        </w:tc>
      </w:tr>
    </w:tbl>
    <w:bookmarkStart w:colFirst="0" w:colLast="0" w:name="vm9tqhm1dbxn" w:id="3"/>
    <w:bookmarkEnd w:id="3"/>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br w:type="page"/>
      </w:r>
      <w:hyperlink w:anchor="_lt13geu5y4iw">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ВВЕДЕНИЕ</w:t>
        </w:r>
      </w:hyperlink>
      <w:r w:rsidDel="00000000" w:rsidR="00000000" w:rsidRPr="00000000">
        <w:fldChar w:fldCharType="begin"/>
        <w:instrText xml:space="preserve"> HYPERLINK \l "_lt13geu5y4iw" </w:instrText>
        <w:fldChar w:fldCharType="separate"/>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6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данных методических указаниях определены требования к содержанию, оформлению и защите курсового проекта и выпускной квалификационной работы бакалавра (ВКР).</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Общие требования</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к структуре и правилам оформления научных отчетов, в том числе выпускных квалификационных работ, курсовых проектов, установлены в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ГОСТ 7.32-2017 Отчёт о научно-исследовательской работе (далее ГОСТ 7.32) [1].</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Данные методические указания составлены с учетом положений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ГОСТ 7.32 [1]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учебно-методических указаний, подготовленных отделом управления системой менеджмента качества, стандартизации и нормоконтроля КубГУ [2]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а также требований к текстовым отчётам, библиографическим записям, правилам сокращений, выполнения чертежей, обозначений, изложенных в соответствующих стандартах.</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Требования к структуре и оформлению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курсовых проектов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совпадают с требованиями, предъявляемыми к выполнению ВКР. По содержанию курсовой проект носит учебно-исследовательский характер. Курсовые проекты не рецензируются, их защита проходит на заседании кафедры.</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Примеры оформления введения, содержания, реферата, таблиц, рисунков, формул, списка использованных источников даются в приложениях.</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электронном виде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материалы по требованиям и рекомендациям, образцы титульных листов по кафедрам и направлениям, формы задания, отзыва, рецензии, акта о внедрении, справки о применении, нормативные документы можно получить у нормоконтролёра кафедры. Общие требования и рекомендации размещены на сайте КубГУ:</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sjtostpux1at" w:id="4"/>
      <w:bookmarkEnd w:id="4"/>
      <w:hyperlink r:id="rId6">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https://kubsu.ru/ru/ftf/</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otqpwo219cyo" w:id="5"/>
    <w:bookmarkEnd w:id="5"/>
    <w:p w:rsidR="00000000" w:rsidDel="00000000" w:rsidP="00000000" w:rsidRDefault="00000000" w:rsidRPr="00000000" w14:paraId="0000009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br w:type="page"/>
      </w:r>
      <w:hyperlink w:anchor="_lt13geu5y4iw">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 Требования к содержанию выпускной квалификационной работы и курсовых проектов</w:t>
        </w:r>
      </w:hyperlink>
      <w:r w:rsidDel="00000000" w:rsidR="00000000" w:rsidRPr="00000000">
        <w:rPr>
          <w:rtl w:val="0"/>
        </w:rPr>
      </w:r>
    </w:p>
    <w:bookmarkStart w:colFirst="0" w:colLast="0" w:name="3qg94kdn65ry" w:id="6"/>
    <w:bookmarkEnd w:id="6"/>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fldChar w:fldCharType="begin"/>
        <w:instrText xml:space="preserve"> HYPERLINK \l "_lt13geu5y4iw"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1.1 Общие требования</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Выполнение выпускной квалификационной работы (далее ВКР) проводится в соответствии</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 приказом Минобрнауки РФ от 29.06.2015 № 636 (ред. от 27.03.2020), государственными образовательными стандартами и методическими рекомендациями по определению структуры и содержания государственных аттестационных испытаний по направлениям.</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Выпускная квалификационная работа выполняется как теоретическое или экспериментальное исследование одной из актуальных задач по тематике кафедры или в форме проекта (с оформлением пояснительного текста, приложением графического материала, рассмотрением вопросов по охране труда, технике безопасности и проведением технико-экономического обоснования).</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Исследование при выполнении ВКР рекомендуется заканчивать публикацией в научной печати или внедрением в сферу социальной, производственной деятельности, в том числе в учебный процесс.</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Работа над выпускной квалификационной работой включает следующие этапы:</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выбор темы исследования и назначение научного руководителя;</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составление плана исследования, подбор научной литературы, необходимых нормативных документов, актов, а также соответствующего фактического материала;</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преддипломная практика;</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обработка и анализ полученной информации с применением современных методов исследования;</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обобщение полученных результатов;</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написание и оформление работы в соответствии с требованиями государственных стандартов;</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подготовка презентационных материалов работы;</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предварительная защита;</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защита работы на ГЭК;</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начале седьмого учебного семестра до окончания теоретического курса обучения студент должен согласовать тему ВКР с научным руководителем и с заведующим выпускающей кафедры. Тема ВКР должна соответствовать тематике кафедры по направлениям подготовки. Студент может предложить для ВКР тему, связанную со спецификой работы своего работодателя. После выбора темы студент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пишет заявление на имя заведующего кафедрой с указанием темы и руководителя</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После согласования темы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оформляется бланк задания на ВКР</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который подписывается руководителем и студентом. Задание на выполнение ВКР является официальным документом, который выдаётся на кафедре в двух экземплярах. После оформления один экземпляр остается на кафедре, второй – у исполнителя ВКР для включения в состав ВКР на защите.</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Структура и оформление ВКР должны приводиться в соответствие с требованиями к структуре и оформлению отчетов и соблюдением положений стандартов [1, 3–9].</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Общими требованиями к работе являются:</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чёткость и логическая последовательность изложения материала;</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убедительность аргументации;</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краткость и точность формулировок, исключающих возможность неоднозначности толкования;</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конкретность изложения результатов работы;</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обоснованность рекомендаций и предложений.</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Выпускная квалификационная работа и курсовой проект в соответствии с ГОСТ 7.32 [1] должны включать следующие структурные элементы:</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титульный лист;</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реферат;</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содержание;</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перечень сокращений и обозначений (если используются в работе);</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введение;</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основную часть (состоящую из разделов, подразделов и пунктов);</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заключение;</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список использованных источников;</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приложения (при необходимости).</w:t>
      </w:r>
    </w:p>
    <w:bookmarkStart w:colFirst="0" w:colLast="0" w:name="ganj471vgyh3" w:id="7"/>
    <w:bookmarkEnd w:id="7"/>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hyperlink w:anchor="_lt13geu5y4iw">
        <w:r w:rsidDel="00000000" w:rsidR="00000000" w:rsidRPr="00000000">
          <w:rPr>
            <w:rFonts w:ascii="Times New Roman" w:cs="Times New Roman" w:eastAsia="Times New Roman" w:hAnsi="Times New Roman"/>
            <w:b w:val="1"/>
            <w:bCs w:val="1"/>
            <w:i w:val="0"/>
            <w:iCs w:val="0"/>
            <w:smallCaps w:val="0"/>
            <w:strike w:val="0"/>
            <w:color w:val="0000ff"/>
            <w:sz w:val="30"/>
            <w:szCs w:val="30"/>
            <w:u w:val="none"/>
            <w:shd w:fill="auto" w:val="clear"/>
            <w:vertAlign w:val="baseline"/>
            <w:rtl w:val="0"/>
          </w:rPr>
          <w:t xml:space="preserve">1.2 Титульный лист</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Титульный лист является первой страницей работы и содержит полное название вуза, название факультета, кафедры, имеет гриф допуска к защите заведующим кафедрой (для ВКР), название работы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 строгом соответствии с названием темы, утвержденной приказом ректора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титульном листе указываются фамилия, имя, отчество (полностью) автора работы, код и название направления подготовки, направленность (профиль), данные о руководителе и нормоконтролере.</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Примеры оформления титульных листов курсового проекта и выпускной квалификационной работы бакалавра приведены в приложении А и приложении Б.</w:t>
      </w:r>
    </w:p>
    <w:bookmarkStart w:colFirst="0" w:colLast="0" w:name="rm6ezzx7v50l" w:id="8"/>
    <w:bookmarkEnd w:id="8"/>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ff"/>
          <w:sz w:val="30"/>
          <w:szCs w:val="30"/>
          <w:u w:val="none"/>
          <w:shd w:fill="auto" w:val="clear"/>
          <w:vertAlign w:val="baseline"/>
        </w:rPr>
      </w:pPr>
      <w:hyperlink w:anchor="1p3deok45s8t">
        <w:r w:rsidDel="00000000" w:rsidR="00000000" w:rsidRPr="00000000">
          <w:rPr>
            <w:rFonts w:ascii="Times New Roman" w:cs="Times New Roman" w:eastAsia="Times New Roman" w:hAnsi="Times New Roman"/>
            <w:b w:val="1"/>
            <w:bCs w:val="1"/>
            <w:i w:val="0"/>
            <w:iCs w:val="0"/>
            <w:smallCaps w:val="0"/>
            <w:strike w:val="0"/>
            <w:color w:val="0000ff"/>
            <w:sz w:val="30"/>
            <w:szCs w:val="30"/>
            <w:u w:val="none"/>
            <w:shd w:fill="auto" w:val="clear"/>
            <w:vertAlign w:val="baseline"/>
            <w:rtl w:val="0"/>
          </w:rPr>
          <w:t xml:space="preserve">1.3 Реферат</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Реферат должен содержать</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вид работы, сведения об объёме (количестве страниц), количестве иллюстраций и таблиц, количестве использованных источников;</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перечень ключевых слов;</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текст реферата.</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Ключевые слова в совокупности дают представление о содержании. Ключевыми словами являются слова или словосочетания из текста работы, которые несут существенную смысловую нагрузку с точки зрения информационного поиска. Перечень включает от 5 до 15 ключевых слов (словосочетаний) в именительном падеже, напечатанных в строку через запятые прописными буквами без точки на конце.</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Текст реферата должен отражать</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объект исследования или разработки;</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цель работы;</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методы исследования;</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полученные результаты и их новизну, степень внедрения;</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область применения и рекомендации.</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сведения по какой-либо из перечисленных частей реферата отсутствуют, то в тексте реферата эта часть опускается.</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Излагать содержание реферата необходимо в повествовательной форме, но допускается и схематическое составление, например, в виде «Объект исследования – интегрально-оптические модуляторы. Цель исследования – выявление особых свойств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Объём реферата 0,75 – 1 страницы.</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Пример оформления реферата приведён в приложении В.</w:t>
      </w:r>
    </w:p>
    <w:bookmarkStart w:colFirst="0" w:colLast="0" w:name="b60tuguxcivs" w:id="9"/>
    <w:bookmarkEnd w:id="9"/>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ff"/>
          <w:sz w:val="30"/>
          <w:szCs w:val="30"/>
          <w:u w:val="none"/>
          <w:shd w:fill="auto" w:val="clear"/>
          <w:vertAlign w:val="baseline"/>
        </w:rPr>
      </w:pPr>
      <w:hyperlink w:anchor="_lt13geu5y4iw">
        <w:r w:rsidDel="00000000" w:rsidR="00000000" w:rsidRPr="00000000">
          <w:rPr>
            <w:rFonts w:ascii="Times New Roman" w:cs="Times New Roman" w:eastAsia="Times New Roman" w:hAnsi="Times New Roman"/>
            <w:b w:val="1"/>
            <w:bCs w:val="1"/>
            <w:i w:val="0"/>
            <w:iCs w:val="0"/>
            <w:smallCaps w:val="0"/>
            <w:strike w:val="0"/>
            <w:color w:val="0000ff"/>
            <w:sz w:val="30"/>
            <w:szCs w:val="30"/>
            <w:u w:val="none"/>
            <w:shd w:fill="auto" w:val="clear"/>
            <w:vertAlign w:val="baseline"/>
            <w:rtl w:val="0"/>
          </w:rPr>
          <w:t xml:space="preserve">1.4 Содержание</w:t>
        </w:r>
      </w:hyperlink>
      <w:r w:rsidDel="00000000" w:rsidR="00000000" w:rsidRPr="00000000">
        <w:fldChar w:fldCharType="begin"/>
        <w:instrText xml:space="preserve"> HYPERLINK \l "_lt13geu5y4iw" </w:instrText>
        <w:fldChar w:fldCharType="separate"/>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Содержание включает введение, наименование всех разделов, подразделов, пунктов, заключение, список использованных источников и наименование приложений с указанием номеров страниц, с которых начинаются эти элементы выпускной квалификационной работы и курсового проекта. Пример оформления содержания приведён в приложении Г.</w:t>
      </w:r>
      <w:bookmarkStart w:colFirst="0" w:colLast="0" w:name="xeddbee2uqvn" w:id="10"/>
      <w:bookmarkEnd w:id="10"/>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ff"/>
          <w:sz w:val="30"/>
          <w:szCs w:val="30"/>
          <w:u w:val="none"/>
          <w:shd w:fill="auto" w:val="clear"/>
          <w:vertAlign w:val="baseline"/>
        </w:rPr>
      </w:pPr>
      <w:hyperlink w:anchor="_lt13geu5y4iw">
        <w:r w:rsidDel="00000000" w:rsidR="00000000" w:rsidRPr="00000000">
          <w:rPr>
            <w:rFonts w:ascii="Times New Roman" w:cs="Times New Roman" w:eastAsia="Times New Roman" w:hAnsi="Times New Roman"/>
            <w:b w:val="1"/>
            <w:bCs w:val="1"/>
            <w:i w:val="0"/>
            <w:iCs w:val="0"/>
            <w:smallCaps w:val="0"/>
            <w:strike w:val="0"/>
            <w:color w:val="0000ff"/>
            <w:sz w:val="30"/>
            <w:szCs w:val="30"/>
            <w:u w:val="none"/>
            <w:shd w:fill="auto" w:val="clear"/>
            <w:vertAlign w:val="baseline"/>
            <w:rtl w:val="0"/>
          </w:rPr>
          <w:t xml:space="preserve">1.5 Перечень сокращений и обозначений</w:t>
        </w:r>
      </w:hyperlink>
      <w:r w:rsidDel="00000000" w:rsidR="00000000" w:rsidRPr="00000000">
        <w:fldChar w:fldCharType="begin"/>
        <w:instrText xml:space="preserve"> HYPERLINK \l "_lt13geu5y4iw" </w:instrText>
        <w:fldChar w:fldCharType="separate"/>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этом структурном элементе приводится перечень условных обозначений, символов, сокращений, применяемых в работе, в виде списка.</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том случае, когда в работе условные обозначения повторяются менее трёх раз, их в список не включают, а приводят расшифровку в тексте при первом их упоминании. Например: фильтр нижних частот (далее – ФНЧ).</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Сокращения и аббревиатуры целесообразно вводить в тех случаях, если они используются многократно. Аббревиатурам, установленным в национальных стандартах Российской Федерации, расшифровку можно не давать (печатать и/или писать необходимо прописными буквами без точек). Например: РФ, ЭВМ, ПК, ГОСТ и т. д.</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Пример содержания и оформления обозначений и сокращений приведён в приложении Д.</w:t>
      </w:r>
    </w:p>
    <w:bookmarkStart w:colFirst="0" w:colLast="0" w:name="gqbcqhtceade" w:id="11"/>
    <w:bookmarkEnd w:id="11"/>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ff"/>
          <w:sz w:val="30"/>
          <w:szCs w:val="30"/>
          <w:u w:val="none"/>
          <w:shd w:fill="auto" w:val="clear"/>
          <w:vertAlign w:val="baseline"/>
        </w:rPr>
      </w:pPr>
      <w:hyperlink w:anchor="_lt13geu5y4iw">
        <w:r w:rsidDel="00000000" w:rsidR="00000000" w:rsidRPr="00000000">
          <w:rPr>
            <w:rFonts w:ascii="Times New Roman" w:cs="Times New Roman" w:eastAsia="Times New Roman" w:hAnsi="Times New Roman"/>
            <w:b w:val="1"/>
            <w:bCs w:val="1"/>
            <w:i w:val="0"/>
            <w:iCs w:val="0"/>
            <w:smallCaps w:val="0"/>
            <w:strike w:val="0"/>
            <w:color w:val="0000ff"/>
            <w:sz w:val="30"/>
            <w:szCs w:val="30"/>
            <w:u w:val="none"/>
            <w:shd w:fill="auto" w:val="clear"/>
            <w:vertAlign w:val="baseline"/>
            <w:rtl w:val="0"/>
          </w:rPr>
          <w:t xml:space="preserve">1.6 Введение</w:t>
        </w:r>
      </w:hyperlink>
      <w:r w:rsidDel="00000000" w:rsidR="00000000" w:rsidRPr="00000000">
        <w:fldChar w:fldCharType="begin"/>
        <w:instrText xml:space="preserve"> HYPERLINK \l "_lt13geu5y4iw" </w:instrText>
        <w:fldChar w:fldCharType="separate"/>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37"/>
        </w:tabs>
        <w:spacing w:after="0" w:before="0" w:line="360" w:lineRule="auto"/>
        <w:ind w:left="284"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 должно содержать:</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оценку современного состояния данной проблемы;</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основание и исходные данные для разработки темы;</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чёткая и убедительная формулировка актуальности, новизны и практической значимости темы;</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формулировку цели работы;</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постановку задач и направлений исследования для реализации указанной цели;</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возможность использования полученных результатов.</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Во введении не рекомендуется делать обзор литературы.</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37"/>
        </w:tabs>
        <w:spacing w:after="0" w:before="0" w:line="360" w:lineRule="auto"/>
        <w:ind w:left="284"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Оптимальный объём введения – 2 страницы.</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37"/>
        </w:tabs>
        <w:spacing w:after="0" w:before="0" w:line="360" w:lineRule="auto"/>
        <w:ind w:left="284"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xxrx342hc30n" w:id="12"/>
      <w:bookmarkEnd w:id="1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Пример оформления введения приведен в приложении Е.</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t3gamz1v4gua" w:id="13"/>
    <w:bookmarkEnd w:id="13"/>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ff"/>
          <w:sz w:val="30"/>
          <w:szCs w:val="30"/>
          <w:u w:val="none"/>
          <w:shd w:fill="auto" w:val="clear"/>
          <w:vertAlign w:val="baseline"/>
        </w:rPr>
      </w:pPr>
      <w:hyperlink w:anchor="_lt13geu5y4iw">
        <w:r w:rsidDel="00000000" w:rsidR="00000000" w:rsidRPr="00000000">
          <w:rPr>
            <w:rFonts w:ascii="Times New Roman" w:cs="Times New Roman" w:eastAsia="Times New Roman" w:hAnsi="Times New Roman"/>
            <w:b w:val="1"/>
            <w:bCs w:val="1"/>
            <w:i w:val="0"/>
            <w:iCs w:val="0"/>
            <w:smallCaps w:val="0"/>
            <w:strike w:val="0"/>
            <w:color w:val="0000ff"/>
            <w:sz w:val="30"/>
            <w:szCs w:val="30"/>
            <w:u w:val="none"/>
            <w:shd w:fill="auto" w:val="clear"/>
            <w:vertAlign w:val="baseline"/>
            <w:rtl w:val="0"/>
          </w:rPr>
          <w:t xml:space="preserve">1.7 Основная часть</w:t>
        </w:r>
      </w:hyperlink>
      <w:r w:rsidDel="00000000" w:rsidR="00000000" w:rsidRPr="00000000">
        <w:fldChar w:fldCharType="begin"/>
        <w:instrText xml:space="preserve"> HYPERLINK \l "_lt13geu5y4iw" </w:instrText>
        <w:fldChar w:fldCharType="separate"/>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Основная часть должна содержать:</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обоснование выбора принятого направления исследований, методы решения задач и их сравнительную оценку;</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теоретические и экспериментальные исследования, методы исследования, методы расчёта, принципы действия разработанных объектов и их характеристики, полученные экспериментальные данные;</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обобщение и оценку результатов исследований, оценку достоверности полученных результатов и их сравнение с результатами отечественных и зарубежных работ.</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ходе решения поставленных задач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необходимо делать ссылки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на аналогичные методы из источников.</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Основная часть разбивается на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разделы, подразделы и пункты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обзоре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обязательно использование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первоисточников за последние пять лет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 в обоснованных случаях более ранних. Возможно при составлении обзора указывать кроме печатных книг и статей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электронные ресурсы</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Практическая часть должна содержать информацию о научных приборах и установках, использованных в работе, их описание и методики измерений. В практической части излагаются результаты экспериментов. Должен быть выполнен анализ точности проведенных измерений и приведены погрешности полученных результатов.</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Описание необходимо сопровождать иллюстрационным материалом (таблицы, чертежи, схемы, графики, фотографии). Следует приводить только такие рисунки и фотографии (не более 20), без которых невозможно понимание текста.</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37"/>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37"/>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hap2jms9etx" w:id="14"/>
    <w:bookmarkEnd w:id="14"/>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37"/>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hyperlink w:anchor="_lt13geu5y4iw">
        <w:r w:rsidDel="00000000" w:rsidR="00000000" w:rsidRPr="00000000">
          <w:rPr>
            <w:rFonts w:ascii="Times New Roman" w:cs="Times New Roman" w:eastAsia="Times New Roman" w:hAnsi="Times New Roman"/>
            <w:b w:val="1"/>
            <w:bCs w:val="1"/>
            <w:i w:val="0"/>
            <w:iCs w:val="0"/>
            <w:smallCaps w:val="0"/>
            <w:strike w:val="0"/>
            <w:color w:val="0000ff"/>
            <w:sz w:val="30"/>
            <w:szCs w:val="30"/>
            <w:u w:val="none"/>
            <w:shd w:fill="auto" w:val="clear"/>
            <w:vertAlign w:val="baseline"/>
            <w:rtl w:val="0"/>
          </w:rPr>
          <w:t xml:space="preserve">1.8 Заключение</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 должно содержать</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выводы по каждому этапу</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(задаче исследования), выполненному в работе, выводы по достижению цели и оценку эффективности полученных результатов. Необходимо подчеркнуть научную, практическую ценность результатов работы, степень внедрения, дать рекомендации по дальнейшему совершенствованию системы, технологии, метода.</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Пример оформления заключения приведен в приложении Л.</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выпускная работа внедрена на предприятии, то к работе прилагается справка или акт о внедрении или использовании.</w:t>
      </w:r>
    </w:p>
    <w:bookmarkStart w:colFirst="0" w:colLast="0" w:name="4dx111axfsr9" w:id="15"/>
    <w:bookmarkEnd w:id="15"/>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ff"/>
          <w:sz w:val="30"/>
          <w:szCs w:val="30"/>
          <w:u w:val="none"/>
          <w:shd w:fill="auto" w:val="clear"/>
          <w:vertAlign w:val="baseline"/>
        </w:rPr>
      </w:pPr>
      <w:hyperlink w:anchor="_lt13geu5y4iw">
        <w:r w:rsidDel="00000000" w:rsidR="00000000" w:rsidRPr="00000000">
          <w:rPr>
            <w:rFonts w:ascii="Times New Roman" w:cs="Times New Roman" w:eastAsia="Times New Roman" w:hAnsi="Times New Roman"/>
            <w:b w:val="1"/>
            <w:bCs w:val="1"/>
            <w:i w:val="0"/>
            <w:iCs w:val="0"/>
            <w:smallCaps w:val="0"/>
            <w:strike w:val="0"/>
            <w:color w:val="0000ff"/>
            <w:sz w:val="30"/>
            <w:szCs w:val="30"/>
            <w:u w:val="none"/>
            <w:shd w:fill="auto" w:val="clear"/>
            <w:vertAlign w:val="baseline"/>
            <w:rtl w:val="0"/>
          </w:rPr>
          <w:t xml:space="preserve">1.9 Приложения</w:t>
        </w:r>
      </w:hyperlink>
      <w:r w:rsidDel="00000000" w:rsidR="00000000" w:rsidRPr="00000000">
        <w:fldChar w:fldCharType="begin"/>
        <w:instrText xml:space="preserve"> HYPERLINK \l "_lt13geu5y4iw" </w:instrText>
        <w:fldChar w:fldCharType="separate"/>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приложения следует включать вспомогательный материал, необходимый для полноты изложения результатов, например:</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промежуточные математические доказательства, формулы и расчёты;</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таблицы вспомогательных данных, иллюстрации вспомогательного характера;</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тексты программ, описание алгоритмов;</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описание аппаратуры и приборов, применяемых при проведении экспериментов, измерений и испытаний;</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руководства пользователя, технологические инструкции;</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протоколы испытаний, результаты тестирования и т. д.</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приложения также можно включать иллюстрации, таблицы, выполненные на листах формата А3.</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xbas9m7y2v6j" w:id="16"/>
    <w:bookmarkEnd w:id="16"/>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ff"/>
          <w:sz w:val="32"/>
          <w:szCs w:val="32"/>
          <w:u w:val="none"/>
          <w:shd w:fill="auto" w:val="clear"/>
          <w:vertAlign w:val="baseline"/>
        </w:rPr>
      </w:pPr>
      <w:r w:rsidDel="00000000" w:rsidR="00000000" w:rsidRPr="00000000">
        <w:br w:type="page"/>
      </w:r>
      <w:hyperlink w:anchor="_lt13geu5y4iw">
        <w:r w:rsidDel="00000000" w:rsidR="00000000" w:rsidRPr="00000000">
          <w:rPr>
            <w:rFonts w:ascii="Times New Roman" w:cs="Times New Roman" w:eastAsia="Times New Roman" w:hAnsi="Times New Roman"/>
            <w:b w:val="1"/>
            <w:bCs w:val="1"/>
            <w:i w:val="0"/>
            <w:iCs w:val="0"/>
            <w:smallCaps w:val="0"/>
            <w:strike w:val="0"/>
            <w:color w:val="0000ff"/>
            <w:sz w:val="32"/>
            <w:szCs w:val="32"/>
            <w:u w:val="none"/>
            <w:shd w:fill="auto" w:val="clear"/>
            <w:vertAlign w:val="baseline"/>
            <w:rtl w:val="0"/>
          </w:rPr>
          <w:t xml:space="preserve">2 Требования к оформлению выпускной квалификационной работы и курсовых проектов</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bookmarkStart w:colFirst="0" w:colLast="0" w:name="u9ka8ivx0i7a" w:id="17"/>
      <w:bookmarkEnd w:id="17"/>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ff"/>
          <w:sz w:val="30"/>
          <w:szCs w:val="30"/>
          <w:u w:val="none"/>
          <w:shd w:fill="auto" w:val="clear"/>
          <w:vertAlign w:val="baseline"/>
        </w:rPr>
      </w:pPr>
      <w:hyperlink w:anchor="_lt13geu5y4iw">
        <w:r w:rsidDel="00000000" w:rsidR="00000000" w:rsidRPr="00000000">
          <w:rPr>
            <w:rFonts w:ascii="Times New Roman" w:cs="Times New Roman" w:eastAsia="Times New Roman" w:hAnsi="Times New Roman"/>
            <w:b w:val="1"/>
            <w:bCs w:val="1"/>
            <w:i w:val="0"/>
            <w:iCs w:val="0"/>
            <w:smallCaps w:val="0"/>
            <w:strike w:val="0"/>
            <w:color w:val="0000ff"/>
            <w:sz w:val="30"/>
            <w:szCs w:val="30"/>
            <w:u w:val="none"/>
            <w:shd w:fill="auto" w:val="clear"/>
            <w:vertAlign w:val="baseline"/>
            <w:rtl w:val="0"/>
          </w:rPr>
          <w:t xml:space="preserve">2.1 Общие положения</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Текст работы оформляется в соответствии с ГОСТ 7.32 [1], ГОСТ 2.105 [3].</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Рекомендуется при компьютерном оформлении использовать текстовый редактор, который принят к использованию в образовательной организации.</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Текст выпускной квалификационной работы и курсового проекта в одном экземпляре должен быть выполнен в печатным варианте на белой односортной бумаге формата А4 на одной стороне листа через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полтора интервала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 соблюдением следующих размеров полей: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левое – 30 мм, правое – 15 мм, верхнее – 20 мм, нижнее – 20 мм.</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печатного текста рекомендуется использовать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шрифт Times New Roman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14-го размера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Цвет шрифта должен быть чёрным.</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Основной текст</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следует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выравнивать по ширине,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используя при этом переносы.</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Абзацный отступ 1,25 см.</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Разрешается использовать компьютерные возможности акцентирования внимания на определенных терминах, формулах, теоремах, применяя шрифты разной гарнитуры.</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Объём выпускной квалификационной</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работы – не менее 50 страниц</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м</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ашинописного</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текста (не считая приложений), из них до 1/3 может составлять обзорная часть.</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Выпускная работа должна быть переплетена (твёрдый переплет)</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Объём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курсовых проектов 2-го курса 15-20 страниц, 3-го курса 20-30 страниц</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машинописного текста, не считая приложений.</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Курсовой проект должен быть представлен единым скрепленным документом в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твёрдой папке.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Допускается папка-скоросшиватель, не рекомендуются папки с кольцами, зажимами, с прозрачными вкладышами-файлами.</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Вписывать в текст выпускной квалификационной работы и курсового проекта отдельные слова, формулы и условные знаки допускается только</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чёрной пастой или черными чернилами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чертёжным шрифтом по ГОСТ 2.304. При этом плотность вписанного текста должна быть максимально приближена к плотности основного текста. При оформлении в печатном виде рекомендуется использовать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редактор формул</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Опечатки, описки и графические неточности, обнаруженные в процессе подготовки работы, допускается исправлять подчисткой или закрашиванием белой краской и нанесением на том же месте исправленного текста (графики) машинописным способом или чёрными чернилами, пастой или тушью рукописным способом. При наличии на странице более 4–5 исправлений она должна быть переделана. Повреждения листов текстовых документов, помарки и следы не полностью удалённого прежнего текста (графики) не допускаются.</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 тексте работы не должно быть пустых строк (кроме необходимых по правилам оформления) и тем более полупустых страниц.</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Страницы выпускной квалификационной работы и курсового проекта нумеруются арабскими цифрами.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Титульный лист включают в общую нумерацию страниц работы, но номер страницы на титульном листе не проставляют.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последующих страницах (начиная со второй)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номер страницы проставляют</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внизу по центру</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без точки.</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оформлении содержания выпускной квалификационной работы и курсового проекта наименование подразделов располагают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 отступа в два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печатных знака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 отношению к наименованию раздела, наименование пунктов располагают с отступа в два печатных знака по отношению к наименованию подраздела. Обязательно использовать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отточие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перед нумерацией разделов, подразделов и пунктов.</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Основная часть выпускной квалификационной работы и курсового проекта состоит из разделов, подразделов и пунктов, которые нумеруют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арабской цифрой без точки в конце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 начинаются после абзацного отступа, например:</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(первый раздел)</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(первый подраздел второго раздела)</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2.2.1 (первый пункт второго подраздела второго раздела)</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Заголовки структурных элементов выпускной квалификационной работы и курсового проекта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РЕФЕРАТ, СОДЕРЖАНИЕ,</w:t>
      </w:r>
      <w:r w:rsidDel="00000000" w:rsidR="00000000" w:rsidRPr="00000000">
        <w:rPr>
          <w:rFonts w:ascii="Times New Roman" w:cs="Times New Roman" w:eastAsia="Times New Roman" w:hAnsi="Times New Roman"/>
          <w:b w:val="1"/>
          <w:bCs w:val="1"/>
          <w:i w:val="0"/>
          <w:iCs w:val="0"/>
          <w:smallCaps w:val="0"/>
          <w:strike w:val="0"/>
          <w:color w:val="000050"/>
          <w:sz w:val="28"/>
          <w:szCs w:val="28"/>
          <w:u w:val="none"/>
          <w:shd w:fill="auto" w:val="clear"/>
          <w:vertAlign w:val="baseline"/>
          <w:rtl w:val="0"/>
        </w:rPr>
        <w:t xml:space="preserve"> ПЕРЕЧЕНЬ СОКРАЩЕНИЙ И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ОБОЗНАЧЕНИЙ, ВВЕДЕНИЕ, ЗАКЛЮЧЕНИЕ, СПИСОК ИСПОЛЬЗОВАННЫХ ИСТОЧНИКОВ, ПРИЛОЖЕНИЕ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печатаются с нового листа (страницы)</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прописными буквами по центру строки без точки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отделяются от текста одной свободной строкой</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Заголовки разделов, подразделов и пунктов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следует печатать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 абзацного отступа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строчными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буквами с первой прописной</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не подчеркивая, без точки в конце и также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отделять</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от текста пропуском строки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Каждый раздел следует начинать с новой страницы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Пример оформления заголовков разделов, подразделов и пунктов приведён в приложении Ж.</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Обязательно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заголовки структурных элементов, разделов, подразделов и пунктов выделять полужирным шрифтом.</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Рекомендуется увеличивать высоту букв в них на 1-2 пункта.</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Переносы слов в заголовках не допускаются</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Если заголовок состоит из двух предложений, их разделяют точкой. Подчеркивать заголовки не допускается.</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Пункты при необходимости могут быть разбиты на подпункты, которые должны иметь порядковую нумерацию в пределах каждого пункта, например: 2.3.1.1, 2.2.1.2 и т.д.</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Внутри пунктов или подпунктов могут быть приведены перечисления.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Перед каждым элементом перечисления следует ставить тире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Внутритекстовые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перечисления приводят после двоеточия с абзацного отступа через тире со строчной буквы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 конце каждого простого перечисления ставят запятую, а для сложного перечисления – точку с запятой.</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необходимости ссылки в тексте на один из элементов перечисления вместо тире ставятся строчные буквы в порядке русского алфавита, начиная с буквы а (за исключением букв ё, з, й, о, ч, ь, ы, ъ), после которых ставится скобка. Для дальнейшей детализации перечислений используют арабские цифры со скобкой, а запись производят с абзацного отступа, например:</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 ___________;</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 ___________:</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_____________;</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_____________;</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___________.</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компьютерном наборе строки, содержащие заголовки структурных элементов работы, форматируются как многоуровневые списки встроенными стилями Заголовок 1, Заголовок 2, Заголовок 3 и т.д. с последующим внесением (в случае необходимости) изменений в параметры стиля.</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Примечание следует помещать в выпускной квалификационной работе и курсовом проекте, если нужно пояснить содержание текста, таблицы или иллюстрации. Примечания размещают непосредственно после текста, таблицы, иллюстрации, к которым эти примечания относятся, и печатают с прописной буквы с абзацного отступа.</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примечание одно, то оно не нумеруется. После слова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Примечание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ставится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тире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(тире набирается сочетанием клавиш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Ctrl + дефис</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(на цифровом блоке клавиатуры)), и текст печатается с прописной буквы:</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Пример 1.</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Примечание</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Все эксперименты проводились при постоянной температуре.</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Несколько примечаний следует нумеровать арабскими цифрами без проставления точки.</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Пример 2.</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Примечания</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Измерения проводились при комнатной температуре.</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Сплошная кривая соответствует стандартному образцу.</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работе следует пользоваться наименованиями, обозначениями, определениями и правилами применения физических величин и их единиц в соответствии с ГОСТ 8.417 [4].</w:t>
      </w:r>
    </w:p>
    <w:bookmarkStart w:colFirst="0" w:colLast="0" w:name="rlay4e8htlmb" w:id="18"/>
    <w:bookmarkEnd w:id="18"/>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ff"/>
          <w:sz w:val="30"/>
          <w:szCs w:val="30"/>
          <w:u w:val="none"/>
          <w:shd w:fill="auto" w:val="clear"/>
          <w:vertAlign w:val="baseline"/>
        </w:rPr>
      </w:pPr>
      <w:hyperlink w:anchor="_lt13geu5y4iw">
        <w:r w:rsidDel="00000000" w:rsidR="00000000" w:rsidRPr="00000000">
          <w:rPr>
            <w:rFonts w:ascii="Times New Roman" w:cs="Times New Roman" w:eastAsia="Times New Roman" w:hAnsi="Times New Roman"/>
            <w:b w:val="1"/>
            <w:bCs w:val="1"/>
            <w:i w:val="0"/>
            <w:iCs w:val="0"/>
            <w:smallCaps w:val="0"/>
            <w:strike w:val="0"/>
            <w:color w:val="0000ff"/>
            <w:sz w:val="30"/>
            <w:szCs w:val="30"/>
            <w:u w:val="none"/>
            <w:shd w:fill="auto" w:val="clear"/>
            <w:vertAlign w:val="baseline"/>
            <w:rtl w:val="0"/>
          </w:rPr>
          <w:t xml:space="preserve">2.2 Иллюстрации</w:t>
        </w:r>
      </w:hyperlink>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Иллюстрации (чертежи, графики, схемы, диаграммы, фотоснимки) в работе называются рисунками.</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Иллюстрации выполняют компьютерным способом на белой бумаге.</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Разрешается использовать цветной принтер, обеспечивающий хорошее качество печати.</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Фотографии и другие иллюстрации, которые не могут быть выполнены на белой бумаге, должны наклеиваться на листы бумаги, на которых пишется подрисуночный текст и наименование рисунка.</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Иллюстрации должны находиться в работе непосредственно после текста, в котором они упоминаются впервые или на следующей странице, возможно располагать несколько иллюстраций на одном листе.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На все иллюстрации (рисунки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должны быть даны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ссылки в тексте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выпускной квалификационной работы и курсового проекта. При ссылке на иллюстрации следует писать «…в соответствии с рисунком 2» при сквозной нумерации их в работе.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Слово «рисунок» без сокращения в тексте печатают со строчной буквы, а в подписи под рисунком – с прописной.</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Кроме формата А4 для иллюстраций (включая таблицы) разрешается использовать бумагу формата А3. Такой лист складывается соответствующим образом до формата А4 и при нумерации учитывается как одна страница.</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Иллюстрации должны иметь название, при необходимости под иллюстрацией помещают поясняющие данные (подрисуночный текст). После номера рисунка ставится тире.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Слово «Рисунок» (не сокращая слово рисунок), его номер и наименование помещают после поясняющих данных, располагают посередине строки с прописной буквы без точки в конце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следующим образом:</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1 – Детали прибора</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Иллюстрации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за исключением иллюстраций приложений, следует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нумеровать арабскими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цифрами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сквозной нумерацией в пределах всей выпускной квалификационной работы и курсового проекта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например, рисунок 5. Допускается нумеровать иллюстрации в пределах раздела. В этом случае номер иллюстрации состоит из номера раздела и порядкового номера иллюстрации, разделённых точкой, например, рисунок 1.1.</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название рисунка состоит из нескольких строк, то его следует записывать через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одинарный межстрочный интервал</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Перенос слов в названиях рисунков не допускается.</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Иллюстрации каждого приложения обозначают отдельной нумерацией арабскими цифрами с добавлением перед цифрой обозначения приложения с точкой, например, рисунок А.3.</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Надписи на графиках и чертежах выполняются чертёжным шрифтом.</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Электрические, оптические и другие элементы на схемах изображаются условными графическими обозначениями, начертания и размеры которых установлены в стандартах ЕСКД [7, 8].</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Пример оформления рисунков даны в приложении И.</w:t>
      </w:r>
    </w:p>
    <w:bookmarkStart w:colFirst="0" w:colLast="0" w:name="x2s9p21izy5m" w:id="19"/>
    <w:bookmarkEnd w:id="19"/>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ff"/>
          <w:sz w:val="30"/>
          <w:szCs w:val="30"/>
          <w:u w:val="none"/>
          <w:shd w:fill="auto" w:val="clear"/>
          <w:vertAlign w:val="baseline"/>
        </w:rPr>
      </w:pPr>
      <w:hyperlink w:anchor="_lt13geu5y4iw">
        <w:r w:rsidDel="00000000" w:rsidR="00000000" w:rsidRPr="00000000">
          <w:rPr>
            <w:rFonts w:ascii="Times New Roman" w:cs="Times New Roman" w:eastAsia="Times New Roman" w:hAnsi="Times New Roman"/>
            <w:b w:val="1"/>
            <w:bCs w:val="1"/>
            <w:i w:val="0"/>
            <w:iCs w:val="0"/>
            <w:smallCaps w:val="0"/>
            <w:strike w:val="0"/>
            <w:color w:val="0000ff"/>
            <w:sz w:val="30"/>
            <w:szCs w:val="30"/>
            <w:u w:val="none"/>
            <w:shd w:fill="auto" w:val="clear"/>
            <w:vertAlign w:val="baseline"/>
            <w:rtl w:val="0"/>
          </w:rPr>
          <w:t xml:space="preserve">2.3 Таблицы</w:t>
        </w:r>
      </w:hyperlink>
      <w:r w:rsidDel="00000000" w:rsidR="00000000" w:rsidRPr="00000000">
        <w:rPr>
          <w:rFonts w:ascii="Times New Roman" w:cs="Times New Roman" w:eastAsia="Times New Roman" w:hAnsi="Times New Roman"/>
          <w:b w:val="1"/>
          <w:bCs w:val="1"/>
          <w:i w:val="0"/>
          <w:iCs w:val="0"/>
          <w:smallCaps w:val="0"/>
          <w:strike w:val="0"/>
          <w:color w:val="0000ff"/>
          <w:sz w:val="30"/>
          <w:szCs w:val="3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Заголовок таблицы следует выполнять строчными буквами (кроме первой прописной) через один межстрочный интервал и помещать над таблицей слева, без абзацного отступа, в одну строку с её номером через тире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(ГОСТ 7.32, [1]). Таблицы слева, справа и снизу ограничивают линиями, ширина таблицы должна соответствовать ширине строки.</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Таблицы следует нумеровать арабскими цифрами в пределах всей работы. Если в работе одна таблица, то она должна быть обозначена «Таблица 1». Таблицу следует располагать в работе непосредственно после текста, в котором она упоминается впервые, или на следующей странице.</w:t>
      </w:r>
      <w:r w:rsidDel="00000000" w:rsidR="00000000" w:rsidRPr="00000000">
        <w:rPr>
          <w:rFonts w:ascii="Times New Roman" w:cs="Times New Roman" w:eastAsia="Times New Roman" w:hAnsi="Times New Roman"/>
          <w:b w:val="0"/>
          <w:bCs w:val="0"/>
          <w:i w:val="0"/>
          <w:iCs w:val="0"/>
          <w:smallCaps w:val="0"/>
          <w:strike w:val="0"/>
          <w:color w:val="00005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Допускается применять внутри таблицы размер шрифта и межстрочный интервал меньший, чем в тексте.</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Допускается нумеровать таблицы в пределах раздела. В этом случае номер таблицы состоит из номера раздела и порядкового номера таблицы, разделённых точкой.</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Таблицы каждого приложения обозначают отдельной нумерацией арабскими цифрами с добавлением перед цифрой обозначения приложения, например, «Таблица В. 1», если она приведена в приложении В.</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переносе части таблицы на другую страницу название таблицы помещают только над её первой частью, над другими частями пишут слово «Продолжение» и указывают номер таблицы, например, «Продолжение таблицы 1». При этом обязательно повторять заголовки колонок таблицы или их номера арабскими цифрами.</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Таблицы и иллюстрации, которые расположены на отдельных страницах выпускной квалификационной работы и курсового проекта, включают в общую нумерацию страниц. На все таблицы должны быть ссылки в тексте, например: «…как следует из таблицы 1…».</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Разделять заголовки и подзаголовки граф диагональными линиями не допускается.</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Графу «Номер по порядку» в таблицу включать не допускается.</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Допускается располагать таблицу вдоль длинной стороны листа. При компьютерном наборе в этом случае устанавливается альбомная ориентация страницы.</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Пример оформления таблицы приведён в приложении К.</w:t>
      </w:r>
    </w:p>
    <w:bookmarkStart w:colFirst="0" w:colLast="0" w:name="14faler3xl5x" w:id="20"/>
    <w:bookmarkEnd w:id="20"/>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ff"/>
          <w:sz w:val="30"/>
          <w:szCs w:val="30"/>
          <w:u w:val="none"/>
          <w:shd w:fill="auto" w:val="clear"/>
          <w:vertAlign w:val="baseline"/>
        </w:rPr>
      </w:pPr>
      <w:hyperlink w:anchor="_lt13geu5y4iw">
        <w:r w:rsidDel="00000000" w:rsidR="00000000" w:rsidRPr="00000000">
          <w:rPr>
            <w:rFonts w:ascii="Times New Roman" w:cs="Times New Roman" w:eastAsia="Times New Roman" w:hAnsi="Times New Roman"/>
            <w:b w:val="1"/>
            <w:bCs w:val="1"/>
            <w:i w:val="0"/>
            <w:iCs w:val="0"/>
            <w:smallCaps w:val="0"/>
            <w:strike w:val="0"/>
            <w:color w:val="0000ff"/>
            <w:sz w:val="30"/>
            <w:szCs w:val="30"/>
            <w:u w:val="none"/>
            <w:shd w:fill="auto" w:val="clear"/>
            <w:vertAlign w:val="baseline"/>
            <w:rtl w:val="0"/>
          </w:rPr>
          <w:t xml:space="preserve">2.4 Формулы и уравнения</w:t>
        </w:r>
      </w:hyperlink>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соответствии с ГОСТ 7.32 [1] все формулы следует нумеровать арабскими цифрами порядковой нумерацией в пределах всей выпускной квалификационной работы и курсового проекта в круглых скобках в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крайнем правом положении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на строке.</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Формулы и уравнения следует выделять из текста в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отдельную строку</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Выше и ниже каждой формулы или уравнения должно быть оставлено не менее одной свободной строки. При оформлении формул рекомендуется использовать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редактор формул в программе Microsoft Word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например:</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8"/>
          <w:tab w:val="right" w:leader="none" w:pos="9356"/>
        </w:tabs>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drawing>
          <wp:inline distB="0" distT="0" distL="114300" distR="114300">
            <wp:extent cx="939800" cy="482600"/>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939800" cy="4826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Пояснение значений символов и числовых коэффициентов следует приводить непосредственно под формулой в той же последовательности, в которой они представлены в формуле. Значение каждого символа и числового коэффициента необходимо приводить с новой строки. Первую строку пояснения начинают со слова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«где» без двоеточия с абзаца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например:</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8"/>
          <w:tab w:val="right" w:leader="none" w:pos="9356"/>
        </w:tabs>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685800" cy="482600"/>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85800" cy="4826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tab/>
        <w:t xml:space="preserve">(2)</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где</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кинетическая энергия, Дж;</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масса материальной точки, кг;</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скорость движения точки, м/с.</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Ссылки в тексте на порядковые номера формул дают в скобках. </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Пример </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формуле (1)…</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Порядок изложения в работе математических уравнений такой же, как и формул.</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уравнение не вмещается в одну строку, оно должно быть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перенесено после знака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равенства (=) или после знаков плюс (+), минус (–), умножения (x), и деления (:), причём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знак</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 начале следующей строки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повторяют</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Допускается выполнение формул и уравнений рукописным способом чёрными чернилами или пастой.</w:t>
      </w:r>
    </w:p>
    <w:bookmarkStart w:colFirst="0" w:colLast="0" w:name="bfnjn1yvhitk" w:id="21"/>
    <w:bookmarkEnd w:id="21"/>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ff"/>
          <w:sz w:val="30"/>
          <w:szCs w:val="30"/>
          <w:u w:val="none"/>
          <w:shd w:fill="auto" w:val="clear"/>
          <w:vertAlign w:val="baseline"/>
        </w:rPr>
      </w:pPr>
      <w:hyperlink w:anchor="_lt13geu5y4iw">
        <w:r w:rsidDel="00000000" w:rsidR="00000000" w:rsidRPr="00000000">
          <w:rPr>
            <w:rFonts w:ascii="Times New Roman" w:cs="Times New Roman" w:eastAsia="Times New Roman" w:hAnsi="Times New Roman"/>
            <w:b w:val="1"/>
            <w:bCs w:val="1"/>
            <w:i w:val="0"/>
            <w:iCs w:val="0"/>
            <w:smallCaps w:val="0"/>
            <w:strike w:val="0"/>
            <w:color w:val="0000ff"/>
            <w:sz w:val="30"/>
            <w:szCs w:val="30"/>
            <w:u w:val="none"/>
            <w:shd w:fill="auto" w:val="clear"/>
            <w:vertAlign w:val="baseline"/>
            <w:rtl w:val="0"/>
          </w:rPr>
          <w:t xml:space="preserve">2.5 Правила написания названий и обозначений единиц</w:t>
        </w:r>
      </w:hyperlink>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Наименования и обозначения физических величин должны соответствовать ГОСТ 8.417 [4]. Допускается применять либо международные, либо русские обозначения единиц.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Одновременное применение международных и русских обозначений не допускается.</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Необходимо использовать единицы измерений международной системы единиц (СИ) и некоторые единицы, допускаемые ГОСТ 8.417.</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Обозначения единиц следует применять после их числовых значений. Между последней цифрой числа и обозначением единицы следует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оставлять пробел</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(10,0 кВт, 70 %, 34,5 Ом). Недопустимо отделять единицу физической величины от числового значения, переносить их на разные строки или страницы, кроме единиц физических величин, помещаемых в таблицах. Для этого при компьютерном наборе между последней цифрой числа и единицей измерения физической величины ставится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неразрывный пробел</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Ctrl+Shift+пробел</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Исключения составляют обозначения в виде знака, поднятого над строкой, перед которыми пробел не ставят, например: 30,5</w:t>
      </w: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26,8</w:t>
      </w: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указании значений величин с предельными отклонениями следует заключать числовые значения в скобки или обозначения единиц проставлять после числового значения и после его предельного отклонения: (100,0 </w:t>
      </w: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0,1) кг или 50 г </w:t>
      </w: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1 г.</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обозначении интервала значений рекомендуется использовать слова «от» и «до»: от 100 до 300 К.</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Допускается применять обозначения единиц в заголовках и наименованиях строк таблиц. Не допускается использовать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 тексте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математический знак минус (–) перед отрицательными значениями величин. Вместо математического знака (–) следует писать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слово минус.</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Исключение составляет знак минус в сопровождении цифр, обозначающих диапазон величин, например, температура меняется от +15 до –15 °С.</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тексте числовые значения с обозначением единиц физических величин и единиц счёта следует писать цифрами, а числа без обозначения единиц физических величин и единиц счёта от единицы до девяти – словами.</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Буквенные обозначения единиц, входящих в произведение, отделяют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точками на средней линии как знаками умножения</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w:t>
      </w: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 А</w:t>
      </w: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Вт</w:t>
      </w: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Использовать для этой цели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символ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х</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не допускается.</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буквенных обозначениях отношений единиц в качестве знака деления должна применяться только одна черта: либо косая, либо прямая.</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применении косой черты обозначения единиц в числителе и знаменателе помещают в строку, а произведение обозначений единиц в знаменателе следует заключать в скобки: Дж/(кг</w:t>
      </w: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 Ом</w:t>
      </w: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мм</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указании произвольной единицы, состоящей из двух и более единиц,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не допускается комбинировать</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буквенные обозначения и наименование единиц. Правильная запись – 80 км/ч, 80 километров в час; неправильная запись – 80 км/час, 80 км в час.</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Математические знаки ≤ (меньше или равно), ≥ (больше или равно), # (не равно), знаки № (номер), % (процент) не допускается писать без численных значений.</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Применение сокращенных обозначений вместо полных наименований единиц в тексте (без числового значения величин) не допускается. Следует писать: сила выражается в ньютонах. Нельзя писать: сила выражается в Н.</w:t>
      </w:r>
    </w:p>
    <w:bookmarkStart w:colFirst="0" w:colLast="0" w:name="k9shkycss1ix" w:id="22"/>
    <w:bookmarkEnd w:id="22"/>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hyperlink w:anchor="_lt13geu5y4iw">
        <w:r w:rsidDel="00000000" w:rsidR="00000000" w:rsidRPr="00000000">
          <w:rPr>
            <w:rFonts w:ascii="Times New Roman" w:cs="Times New Roman" w:eastAsia="Times New Roman" w:hAnsi="Times New Roman"/>
            <w:b w:val="1"/>
            <w:bCs w:val="1"/>
            <w:i w:val="0"/>
            <w:iCs w:val="0"/>
            <w:smallCaps w:val="0"/>
            <w:strike w:val="0"/>
            <w:color w:val="0000ff"/>
            <w:sz w:val="30"/>
            <w:szCs w:val="30"/>
            <w:u w:val="none"/>
            <w:shd w:fill="auto" w:val="clear"/>
            <w:vertAlign w:val="baseline"/>
            <w:rtl w:val="0"/>
          </w:rPr>
          <w:t xml:space="preserve">2.6 Ссылки и список использованных источников</w:t>
        </w:r>
      </w:hyperlink>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Ссылки в тексте на использованные источники обязательно следует указывать порядковым номером библиографического описания источника в списке использованных источников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(ГОСТ 7.32, [1]).</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Порядковый номер ссылки заключают в квадратные скобки, например: «… В работе [23] авторы показали …». Нумерация ссылки ведётся арабскими цифрами в порядке приведения ссылок в тексте выпускной квалификационной работы и курсового проекта независимо от деления её на разделы.</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Ссылки на формулы указывают порядковым номером формулы в круглых скобках, например, «… в формуле (4) …». При ссылках на иллюстрации и таблицы следует писать «… в соответствии с рисунком 2 …» или «… из таблицы 3 видно …»</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в работе одна иллюстрация, одна таблица, одна формула, одно уравнение, одно приложение следует при ссылках писать «на рисунке 1», «в таблице 1», «по формуле (1)», «в уравнении 1», «в приложении A».</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Список использованных источников составляется по порядку появления ссылок на источники в тексте выпускной квалификационной работы и курсового проекта. В список включаются только те источники, на которые имеются ссылки в тексте.</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списке использованных источников при переносах на другую строку не допускаются: разделение инициалов авторов, обозначения числа страниц и цифр и т. п. Рекомендуется между инициалами и фамилией автора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всегда ставить неразрывный пробел</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Ctrl+Shift+пробел</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соответствии с п.6.16 ГОСТ 7.32 [1] cведения об источниках следует нумеровать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арабскими цифрами с точкой и печатать с абзацного отступа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Список печатают тем же шрифтом, что и всю работу через 1.5 интервала. В конце библиографического описания каждого источника ставится точка.</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Библиографические описания электронных документов следует давать в соответствии с ГОСТ Р 7.0.100 [9]. Ссылки на электронные ресурсы в информационных сетях должны содержать следующие элементы:</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автор/создатель, заглавие, выходные сведения (место издания, издатель, год издания), объём публикации (если есть);</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название сайта – краткое описание информационного ресурса или документа (не более 30 слов);</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месторасположение – адрес сайта (URL);</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Примеры оформления списка использованных источников приведены в приложении М.</w:t>
      </w:r>
    </w:p>
    <w:bookmarkStart w:colFirst="0" w:colLast="0" w:name="c1131iyxr8n0" w:id="23"/>
    <w:bookmarkEnd w:id="23"/>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hyperlink w:anchor="_lt13geu5y4iw">
        <w:r w:rsidDel="00000000" w:rsidR="00000000" w:rsidRPr="00000000">
          <w:rPr>
            <w:rFonts w:ascii="Times New Roman" w:cs="Times New Roman" w:eastAsia="Times New Roman" w:hAnsi="Times New Roman"/>
            <w:b w:val="1"/>
            <w:bCs w:val="1"/>
            <w:i w:val="0"/>
            <w:iCs w:val="0"/>
            <w:smallCaps w:val="0"/>
            <w:strike w:val="0"/>
            <w:color w:val="0000ff"/>
            <w:sz w:val="30"/>
            <w:szCs w:val="30"/>
            <w:u w:val="none"/>
            <w:shd w:fill="auto" w:val="clear"/>
            <w:vertAlign w:val="baseline"/>
            <w:rtl w:val="0"/>
          </w:rPr>
          <w:t xml:space="preserve">2.7 Приложения</w:t>
        </w:r>
      </w:hyperlink>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оформляют как продолжение работы, а если приложений несколько, то каждое следует начинать с новой страницы с указанием наверху посередине страницы слова «ПРИЛОЖЕНИЕ» и его буквенное обозначение (ГОСТ 7.32, [1]). Приложение должно иметь заголовок, который располагают симметрично относительно текста с прописной буквы полужирным шрифтом отдельной строкой.</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Приложения обозначают заглавными буквами русского алфавита, начиная с А, за исключением букв Ё, З, Й, О, Ч, Ь, Ы, Ъ, например, «ПРИЛОЖЕНИЕ А». Допускается обозначение приложений буквами латинского алфавита, кроме букв I и O.</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Приложения должны иметь общую с остальной частью работы сквозную нумерацию страниц. В тексте работы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на все приложения должны быть даны ссылки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Приложения располагают в порядке ссылок на них в тексте работы.</w:t>
      </w:r>
      <w:bookmarkStart w:colFirst="0" w:colLast="0" w:name="d7giea3xlkuc" w:id="24"/>
      <w:bookmarkEnd w:id="24"/>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hyperlink w:anchor="_lt13geu5y4iw">
        <w:r w:rsidDel="00000000" w:rsidR="00000000" w:rsidRPr="00000000">
          <w:rPr>
            <w:rFonts w:ascii="Times New Roman" w:cs="Times New Roman" w:eastAsia="Times New Roman" w:hAnsi="Times New Roman"/>
            <w:b w:val="1"/>
            <w:bCs w:val="1"/>
            <w:i w:val="0"/>
            <w:iCs w:val="0"/>
            <w:smallCaps w:val="0"/>
            <w:strike w:val="0"/>
            <w:color w:val="0000ff"/>
            <w:sz w:val="32"/>
            <w:szCs w:val="32"/>
            <w:u w:val="none"/>
            <w:shd w:fill="auto" w:val="clear"/>
            <w:vertAlign w:val="baseline"/>
            <w:rtl w:val="0"/>
          </w:rPr>
          <w:t xml:space="preserve">3 Подготовка к защите выпускной квалификационной работы</w:t>
        </w:r>
      </w:hyperlink>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Предзащита ВКР проводится на соответствующих кафедрах за 10–20 дней до объявленного дня защиты.</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предзащиту представляется подготовленная ВКР (допускается не в переплёте), подписанная научным руководителем и проверенная нормоконтролёром кафедры. К работе прилагаются задание на ВКР, отзыв руководителя, презентация, распечатки основных слайдов в формате А4 и, по требованию кафедры, электронная версия работы.</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Выпускная квалификационная работа, предварительно прочитанная и подписанная научным руководителем, должна пройти нормоконтроль на выпускающей кафедре на соответствие нормам и требованиям, установленным в действующих государственных стандартах.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соответствии с новыми образовательными стандартами допущенная к защите выпускная квалификационная работа бакалавра не рецензируется.</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На основании отзыва научного руководителя и заключении нормоконтролёра заведующий кафедрой решает вопрос о допуске выпускника к защите.</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Отзыв научного руководителя должен содержать оценки, выраженные словами: «отлично», «хорошо», «удовлетворительно», «неудовлетворительно».</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руководитель не является сотрудником КубГУ, то его подпись на отзыве должна быть заверена печатью соответствующей организации.</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Отрицательный отзыв не является основанием для отказа в защите. Право на окончательную оценку работы принадлежит ГЭК.</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Требования к докладу и презентации: время 8 – 10 минут, 9 – 14 слайдов.</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Рекомендуемая структура доклада (порядок расположения слайдов):</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титульный лист, обоснование необходимости исследований (1 – 1,5 мин.);</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постановка задачи с формулировкой отдельных пунктов, подлежащих решению (1 – 1,5 мин.);</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объяснение решённых задач, описание полученных решений (4 – 5 мин.);</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демонстрация разработанного макета, устройства, средств, программы (1 мин.);</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заключение, выводы (по пунктам) (1 – 1,5 мин.).</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Слайды должны быть пронумерованы. Заголовки должны быть однотипными и выделяться на общем фоне (цветом, фоном, линией, размером шрифта).</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Основную часть слайдов должны занимать не текст, а графики, формулы, структурные, функциональные, принципиальные схемы, таблицы, диаграммы и краткие пояснения.</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слайдах рекомендуется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использовать анимацию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(появление, выделение, смена рисунков, формул, пояснений и т.п.). Нежелательны быстрые, яркие эффекты, вылеты, вращения, мигания, появление текста по буквам, смена оформления от одного слайда к другому, применение одновременно нескольких ярких цветов и т. п.</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Текст в слайдах желательно набирать стандартным шрифтом. Нестандартный шрифт может неправильно отобразиться на другом компьютере при проектировании на экран. Рекомендуется шрифт Times New Roman, размер для текста 24, заголовков 28–32.</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Желательно сделать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дополнительные заготовки (слайды)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 более подробным объяснением вопросов, не изложенных в докладе ввиду ограничения по времени, для ответов на возможные вопросы комиссии.</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Рекомендуется выполнить распечатки в формате А4 основных слайдов защиты для предоставления членам комиссии во время защиты.</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Допускается защита с демонстрационными плакатами. На демонстрационные плакаты выносятся основные материалы работы (4 – 6 плакатов формата А1).</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день предзащиты (защиты) за 30 минут до начала работы ГЭК презентацию доклада представить дежурному оператору для записи и проверки.</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Выпускная квалификационная работа,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переплетённая в твёрдой обложке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подписанная исполнителем, руководителем, нормоконтролёром и заведующим кафедрой, с приложенными документами (которые не подшиваются в работу): заданием на работу, отзывом руководителя, справкой о прохождении антиплагиата, актом о внедрении или использования (если таковые имеются), отчётом о проведенном патентном поиске (если проводился), представляется секретарю ГЭК до начала защиты.</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защите выпускной работы в ГЭК рекомендуется пользоваться кратким планом доклада или тезисами к нему.</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защите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обязательно присутствие руководителя ВКР</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 ходе защиты необходимо стоять лицом к комиссии так, чтобы экран с чертежами и плакатами находились справа (слева) от докладчика. Не рекомендуется читать текст доклада.</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После доклада автору выпускной работы задают вопросы члены ГЭК и присутствующие на защите. Докладчику может быть задан любой вопрос по содержанию работы, а также вопросы общего характера с целью выяснения степени его самостоятельности в разработке темы и умения ориентироваться в вопросах направления подготовки.</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 окончании вопросов научным руководителем оглашается отзыв о работе. Исполнителю ВКР предоставляется возможность согласиться с ним или обосновать свое несогласие (если оно имеется).</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 разрешения председателя ГЭК выступают члены ГЭК и желающие выступить из числа присутствующих на защите.</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конце защиты заключительное слово предоставляется студенту.</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Решение об оценке ВКР, о присвоении квалификации и выдаче диплома бакалавра принимает ГЭК на закрытом заседании простым большинством голосов. При оценке работы учитываются:</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качество доклада и ответов на поставленные вопросы;</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качество представленной ВКР, включая актуальность темы, степень проработки материала, оригинальность и новизну результатов, качество оформления и т.п.;</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отзыв научного руководителя;</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академическая успеваемость в процессе освоения образовательной программы;</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практическая значимость результатов работы;</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наличие актов о внедрении или справок о применении результатов выполненной работы;</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наличие публикаций по теме работы и др.</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Студентам, не защитившим выпускную квалификационную работу по уважительной причине (документально подтверждённой), ректором университета срок обучения может быть продлён до следующего периода работы ГЭК.</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1zreumuze9cl" w:id="25"/>
    <w:bookmarkEnd w:id="25"/>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br w:type="page"/>
      </w:r>
      <w:hyperlink w:anchor="_lt13geu5y4iw">
        <w:r w:rsidDel="00000000" w:rsidR="00000000" w:rsidRPr="00000000">
          <w:rPr>
            <w:rFonts w:ascii="Times New Roman" w:cs="Times New Roman" w:eastAsia="Times New Roman" w:hAnsi="Times New Roman"/>
            <w:b w:val="1"/>
            <w:bCs w:val="1"/>
            <w:i w:val="0"/>
            <w:iCs w:val="0"/>
            <w:smallCaps w:val="1"/>
            <w:strike w:val="0"/>
            <w:color w:val="0000ff"/>
            <w:sz w:val="32"/>
            <w:szCs w:val="32"/>
            <w:u w:val="none"/>
            <w:shd w:fill="auto" w:val="clear"/>
            <w:vertAlign w:val="baseline"/>
            <w:rtl w:val="0"/>
          </w:rPr>
          <w:t xml:space="preserve">СПИСОК ИСПОЛЬЗОВАННЫХ ИСТОЧНИКОВ</w:t>
        </w:r>
      </w:hyperlink>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ГОСТ 7.32–2017. Отчет о научно-исследовательской работе. Структура и правила оформления : межгосударственный стандарт : издание официальное : утвержден и введен в действие Приказом Федерального агентства по техническому регулированию и метрологии от 24 октября 2007 года № 1494-ст : введен взамен ГОСТ 7.32–2001 : дата введения 2018–07–01 / разработан Федеральным государственным бюджетным учреждением науки «Всероссийский институт научной и технической информации Российской академии наук». – Москва : Стандартинформ, 2018. – 27 с. : табл. – (Система стандартов по информации, библиотечному и издательскому делу).</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Структура и оформление бакалаврской, дипломной, курсовой работ и магистерской диссертации : учебно-методические указания / составители М. Б. Астапов, Ж. О. Карапетян, О. А. Бондаренко, В. В. Бондаренко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Краснодар : Кубанский государственный университет, 2021. – 58 с.</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ГОСТ Р 2.105–2019. Общие требования к текстовым документам :  национальный стандарт Российской Федерации : издание официальное : утвержден и введен в действие Приказом Федерального агентства по техническому регулированию и метрологии от 29 апреля 2019 года № 175-ст : введен впервые : дата введения 2020–02–01 / разработан Федеральным государственным унитарным предприятием «Российский научно-технический центр информации по стандартизации, метрологии и оценке соответствия». – Москва : Стандартинформ, 2020. – 37 с. : ил., табл. – (Единая система конструкторской документации).</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ГОСТ 8.417–2002. Единицы величин : межгосударственный стандарт : издание официальное : утвержден и введен в действие Постановлением Государственного комитета Российской Федерации по стандартизации и метрологии от 4 февраля 2003 года № 38-ст : введен взамен ГОСТ 8.417–81 : </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дата введения 2003–09–01 / разработан Федеральным государственным унитарным предприятием «Всероссийский научно-исследовательский институт метрологии им. Д.И. Менделеева», Техническим комитетом по стандартизации ТК 206 «Эталоны и поверочные схемы». – Москва : Стандартинформ, 2003. – 28 с. : табл. – (Государственная система обеспечения единства измерений).</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ГОСТ Р 7.0.12–2011. Библиографическая запись. Сокращение слов и словосочетаний на русском языке : национальный стандарт Российской Федерации : издание официальное : утвержден и введен в действие Приказом Федерального агентства по техническому регулированию и метрологии от 13 декабря 2011 года № 813-ст : введен впервые : дата введения 2012–09–01 / разработан Федеральным государственным бюджетным учреждением науки «Российская книжная палата». – Москва : Стандартинформ, 2020. – 26 с. : табл. – (Система стандартов по информации, библиотечному и издательскому делу).</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 ГОСТ 7.11–2004. Библиографическая запись. Сокращение слов и словосочетаний на иностранных европейских языках : межгосударственный стандарт : издание официальное : утвержден и введен в действие Приказом Федерального агентства по техническому регулированию и метрологии от 22 марта 2005 года № 60-ст : введен взамен ГОСТ 7.11–78 : дата введения 2005–09–01 / разработан Всероссийским институтом научной и технической информации РАН. – Москва : Стандартинформ, 2010. – 83 с. : табл. – (Система стандартов по информации, библиотечному и издательскому делу).</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 ГОСТ 2.743–91. Обозначения условные графические в схемах. Элементы цифровой техники : межгосударственный стандарт : издание официальное : утвержден и введен в действие Постановлением Комитета стандартизации и метрологии СССР от 23 декабря 1991 года № 2375 : введен взамен ГОСТ 2.743–82 : дата введения 1993–01–01 / разработан Комитетом стандартизации и метрологии СССР. – Москва : ИПК Издательство стандартов, 2003. – 46 с. : табл. – (Единая система конструкторской документации).</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 ГОСТ 2.759–82. Обозначения условные графические в схемах. Элементы аналоговой техники : межгосударственный стандарт : издание официальное : утвержден и введен в действие Постановлением Государственного комитета СССР по стандартам от 22 апреля 1982 года № 1619 : введен впервые : дата введения 1983–07–01 / разработан Государственным комитетом СССР по стандартам. – Москва : ИПК Издательство стандартов, 1998. – 17 с. : ил., табл. – (Единая система конструкторской документации).</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 ГОСТ Р 7.0.100–2018. Библиографическая запись. Библиографическое описание. Общие требования и правила составления : национальный стандарт Российской Федерации : издание официальное : утвержден и введен в действие Приказом Федерального агентства по техническому регулированию и метрологии от 3 декабря 2018 года № 1050-ст : введен впервые : дата введения 2019– 07–01 / разработан Федеральным государственным унитарным предприятием «Информационное телеграфное агентство России (ИТАР-ТАСС)» филиал «Российская книжная палата», Федеральным государственным бюджетным учреждением «Российская государственная библиотека», Федеральным государственным бюджетным учреждением «Российская национальная библиотека». – Москва : Стандартинформ, 2018. – IV, 65 c. : табл. – (Система стандартов по информации, библиотечному и издательскому делу).</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 ГОСТ Р 7.0.5–2008. Библиографическая ссылка. Общие требования и правила составления : национальный стандарт Российской Федерации : издание официальное : утвержден и введен в действие Приказом Федерального агентства по техническому регулированию и метрологии от 28 апреля 2008 года № 95-ст : введен впервые : дата введения 2009–01–01 / разработан Федеральным государственным учреждением «Российская книжная палата» Федерального агентства по печати и массовым коммуникациям. – Москва : Стандартинформ, 2008. – 24 с. – (Система стандартов по информации, библиотечному и издательскому делу).</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8ifxt59jfzce" w:id="26"/>
      <w:bookmarkEnd w:id="26"/>
      <w:r w:rsidDel="00000000" w:rsidR="00000000" w:rsidRPr="00000000">
        <w:br w:type="page"/>
      </w:r>
      <w:hyperlink w:anchor="_lt13geu5y4iw">
        <w:r w:rsidDel="00000000" w:rsidR="00000000" w:rsidRPr="00000000">
          <w:rPr>
            <w:rFonts w:ascii="Times New Roman" w:cs="Times New Roman" w:eastAsia="Times New Roman" w:hAnsi="Times New Roman"/>
            <w:b w:val="1"/>
            <w:bCs w:val="1"/>
            <w:i w:val="0"/>
            <w:iCs w:val="0"/>
            <w:smallCaps w:val="1"/>
            <w:strike w:val="0"/>
            <w:color w:val="0000ff"/>
            <w:sz w:val="28"/>
            <w:szCs w:val="28"/>
            <w:u w:val="none"/>
            <w:shd w:fill="auto" w:val="clear"/>
            <w:vertAlign w:val="baseline"/>
            <w:rtl w:val="0"/>
          </w:rPr>
          <w:t xml:space="preserve">ПРИЛОЖЕНИЕ А</w:t>
        </w:r>
      </w:hyperlink>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Пример оформления титульного листа курсового проекта бакалавра</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МИНИСТЕРСТВО НАУКИ И ВЫСШЕГО ОБРАЗОВАНИЯ РОССИЙСКОЙ ФЕДЕРАЦИИ</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Федеральное государственное бюджетное образовательное учреждение</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высшего образования</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«КУБАНСКИЙ ГОСУДАРСТВЕННЫЙ УНИВЕРСИТЕТ»</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(ФГБОУ ВО «КубГУ»)</w:t>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Факультет физико-технический</w:t>
      </w: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Кафедра оптоэлектроники</w:t>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КУРСОВОЙ ПРОЕКТ</w:t>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РАЗРАБОТКА И ИССЛЕДОВАНИЕ ИК ТРАНСИВЕРА</w: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ДЛЯ ОТКРЫТЫХ СИСТЕМ СВЯЗИ</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Работу выполнил ______________________________ Иванов Иван Иванович</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Курс 3</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Направление подготовки   11.03.02  Инфокоммуникационные технологии</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 системы связи</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25"/>
          <w:tab w:val="center" w:leader="none" w:pos="481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25"/>
          <w:tab w:val="center" w:leader="none" w:pos="4819"/>
        </w:tabs>
        <w:spacing w:after="0" w:before="0" w:line="240" w:lineRule="auto"/>
        <w:ind w:left="0" w:right="-28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Направленность (профиль)   Оптические системы и сети связи</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Научный руководитель</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канд. техн. наук, доцент ________________________________ А. А. Сергеев</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Нормоконтролёр, ст. преподаватель ______________________ В. Е. Лысенко</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Краснодар</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2025</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lt13geu5y4iw">
        <w:r w:rsidDel="00000000" w:rsidR="00000000" w:rsidRPr="00000000">
          <w:rPr>
            <w:rFonts w:ascii="Times New Roman" w:cs="Times New Roman" w:eastAsia="Times New Roman" w:hAnsi="Times New Roman"/>
            <w:b w:val="1"/>
            <w:bCs w:val="1"/>
            <w:i w:val="0"/>
            <w:iCs w:val="0"/>
            <w:smallCaps w:val="1"/>
            <w:strike w:val="0"/>
            <w:color w:val="0000ff"/>
            <w:sz w:val="28"/>
            <w:szCs w:val="28"/>
            <w:u w:val="none"/>
            <w:shd w:fill="auto" w:val="clear"/>
            <w:vertAlign w:val="baseline"/>
            <w:rtl w:val="0"/>
          </w:rPr>
          <w:t xml:space="preserve">ПРИЛОЖЕНИЕ Б</w:t>
        </w:r>
      </w:hyperlink>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yugnap1urvo9" w:id="27"/>
      <w:bookmarkEnd w:id="27"/>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Пример оформления титульного листа выпускной квалификационной работы</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МИНИСТЕРСТВО НАУКИ И ВЫСШЕГО ОБРАЗОВАНИЯ РОССИЙСКОЙ ФЕДЕРАЦИИ</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Федеральное государственное бюджетное образовательное учреждение</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высшего образования</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«КУБАНСКИЙ ГОСУДАРСТВЕННЫЙ УНИВЕРСИТЕТ»</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(ФГБОУ ВО «КубГУ»)</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Факультет физико-технический</w:t>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Кафедра оптоэлектроники</w:t>
      </w: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103" w:right="0" w:firstLine="993.000000000000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Допустить к защите</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103" w:right="0" w:firstLine="993.000000000000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 зав кафедрой</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103" w:right="0" w:firstLine="993.000000000000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д-р физ.-наук, доцент</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103" w:right="0" w:firstLine="993.000000000000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__________М. М. Векшин</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103" w:right="0" w:firstLine="993.000000000000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________________ 2025г.</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ВЫПУСКНАЯ КВАЛИФИКАЦИОННАЯ РАБОТА</w:t>
      </w: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(БАКАЛАВРСКАЯ РАБОТА)</w:t>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РАЗРАБОТКА И ИССЛЕДОВАНИЕ ИК ТРАНСИВЕРА</w:t>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ДЛЯ ОТКРЫТЫХ СИСТЕМ СВЯЗИ</w:t>
      </w: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Работу выполнил ______________________________ Иванов Иван Иванович</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Направление подготовки   11.03.02  Инфокоммуникационные технологии</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 системы связи</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25"/>
          <w:tab w:val="center" w:leader="none" w:pos="4819"/>
        </w:tabs>
        <w:spacing w:after="0" w:before="0" w:line="240" w:lineRule="auto"/>
        <w:ind w:left="0" w:right="-28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Направленность (профиль)   Оптические системы и сети связи</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Научный руководитель</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канд. техн. наук, доцент ___________________________       А. А. Сергеев</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Нормоконтролёр, инженер ____________________________ И. А. Прохорова</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jybaxtn7dijc" w:id="28"/>
    <w:bookmarkEnd w:id="28"/>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Краснодар</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2025</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lt13geu5y4iw">
        <w:r w:rsidDel="00000000" w:rsidR="00000000" w:rsidRPr="00000000">
          <w:rPr>
            <w:rFonts w:ascii="Times New Roman" w:cs="Times New Roman" w:eastAsia="Times New Roman" w:hAnsi="Times New Roman"/>
            <w:b w:val="1"/>
            <w:bCs w:val="1"/>
            <w:i w:val="0"/>
            <w:iCs w:val="0"/>
            <w:smallCaps w:val="1"/>
            <w:strike w:val="0"/>
            <w:color w:val="0000ff"/>
            <w:sz w:val="28"/>
            <w:szCs w:val="28"/>
            <w:u w:val="none"/>
            <w:shd w:fill="auto" w:val="clear"/>
            <w:vertAlign w:val="baseline"/>
            <w:rtl w:val="0"/>
          </w:rPr>
          <w:t xml:space="preserve">ПРИЛОЖЕНИЕ В</w:t>
        </w:r>
      </w:hyperlink>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Пример оформления реферата</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РЕФЕРАТ</w:t>
      </w: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Выпускная квалификационная работа 71 с., 25 рис., 9 табл., 19 источн., 3 прил.</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ОПТИЧЕСКИЕ СИСТЕМЫ СВЯЗИ, ПРИЕМНИКИ ОПТИЧЕСКОГО ИЗЛУЧЕНИЯ, ОПТИЧЕСКИЙ ТРАНСИВЕР, МОДУЛЯЦИЯ СИГНАЛА</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Объектом разработки данной выпускной квалификационной работы является устройство, предназначенное для передачи информации между двумя компьютерами типа IBM PC посредством инфракрасного канала – оптический ИК – трансивер.</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Целью работы является разработка устройства и исследование его характеристик на примере лабораторной работы, использующей оптический трансивер.</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результате выполнения выпускной квалификационной работы разработан и сконструирован оптический трансивер на основе полупроводниковых компонентов, выполнены необходимые измерения и расчёты. Разработаны рекомендации и стенд к лабораторной работе, описание к лабораторной работе выполнено в виде web-страницы и помещено в среда модульного динамического обучения Moodle КубГУ.</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ej0y4ys6wt34" w:id="29"/>
    <w:bookmarkEnd w:id="29"/>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513"/>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8"/>
          <w:szCs w:val="28"/>
          <w:u w:val="none"/>
          <w:shd w:fill="auto" w:val="clear"/>
          <w:vertAlign w:val="baseline"/>
        </w:rPr>
      </w:pPr>
      <w:r w:rsidDel="00000000" w:rsidR="00000000" w:rsidRPr="00000000">
        <w:br w:type="page"/>
      </w:r>
      <w:hyperlink w:anchor="_lt13geu5y4iw">
        <w:r w:rsidDel="00000000" w:rsidR="00000000" w:rsidRPr="00000000">
          <w:rPr>
            <w:rFonts w:ascii="Times New Roman" w:cs="Times New Roman" w:eastAsia="Times New Roman" w:hAnsi="Times New Roman"/>
            <w:b w:val="1"/>
            <w:bCs w:val="1"/>
            <w:i w:val="0"/>
            <w:iCs w:val="0"/>
            <w:smallCaps w:val="1"/>
            <w:strike w:val="0"/>
            <w:color w:val="0000ff"/>
            <w:sz w:val="28"/>
            <w:szCs w:val="28"/>
            <w:u w:val="none"/>
            <w:shd w:fill="auto" w:val="clear"/>
            <w:vertAlign w:val="baseline"/>
            <w:rtl w:val="0"/>
          </w:rPr>
          <w:t xml:space="preserve">ПРИЛОЖЕНИЕ Г</w:t>
        </w:r>
      </w:hyperlink>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Пример оформления содержания</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СОДЕРЖАНИЕ</w:t>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2"/>
        <w:tblW w:w="9356.0" w:type="dxa"/>
        <w:jc w:val="center"/>
        <w:tblLayout w:type="fixed"/>
        <w:tblLook w:val="0000"/>
      </w:tblPr>
      <w:tblGrid>
        <w:gridCol w:w="8857"/>
        <w:gridCol w:w="499"/>
        <w:tblGridChange w:id="0">
          <w:tblGrid>
            <w:gridCol w:w="8857"/>
            <w:gridCol w:w="499"/>
          </w:tblGrid>
        </w:tblGridChange>
      </w:tblGrid>
      <w:tr>
        <w:trPr>
          <w:cantSplit w:val="0"/>
          <w:tblHeader w:val="0"/>
        </w:trPr>
        <w:tc>
          <w:tcPr>
            <w:vAlign w:val="top"/>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Перечень сокращений и обозначений . . . . . . . . . . . . . . . . . . . . . . . . . . . . .</w:t>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w:t>
            </w:r>
          </w:p>
        </w:tc>
      </w:tr>
      <w:tr>
        <w:trPr>
          <w:cantSplit w:val="0"/>
          <w:tblHeader w:val="0"/>
        </w:trPr>
        <w:tc>
          <w:tcPr>
            <w:vAlign w:val="top"/>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 . . . . . . . . . . . . . . . . . . . . . . . . . . . . . . . . . . . . . . . . . . . . . . . . . . . . </w:t>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r>
          </w:p>
        </w:tc>
      </w:tr>
      <w:tr>
        <w:trPr>
          <w:cantSplit w:val="0"/>
          <w:tblHeader w:val="0"/>
        </w:trPr>
        <w:tc>
          <w:tcPr>
            <w:vAlign w:val="top"/>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74" w:right="0" w:hanging="4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Технические характеристики датчика электромагнитных колебаний . .</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w:t>
            </w:r>
          </w:p>
        </w:tc>
      </w:tr>
      <w:tr>
        <w:trPr>
          <w:cantSplit w:val="0"/>
          <w:tblHeader w:val="0"/>
        </w:trPr>
        <w:tc>
          <w:tcPr>
            <w:vAlign w:val="top"/>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7" w:right="0" w:hanging="22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Выбор и обоснование принципа построения датчиков</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7" w:right="0" w:hanging="3.00000000000000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электромагнитных колебаний . . . . . . . . . . . . . . . . . . . . . . . . . . . . . . . . . .</w:t>
            </w:r>
          </w:p>
        </w:tc>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w:t>
            </w:r>
          </w:p>
        </w:tc>
      </w:tr>
      <w:tr>
        <w:trPr>
          <w:cantSplit w:val="0"/>
          <w:tblHeader w:val="0"/>
        </w:trPr>
        <w:tc>
          <w:tcPr>
            <w:vAlign w:val="top"/>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58" w:right="0" w:hanging="28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Классификация датчиков электромагнитных колебаний . . . . . . . </w:t>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w:t>
            </w:r>
          </w:p>
        </w:tc>
      </w:tr>
      <w:tr>
        <w:trPr>
          <w:cantSplit w:val="0"/>
          <w:tblHeader w:val="0"/>
        </w:trPr>
        <w:tc>
          <w:tcPr>
            <w:vAlign w:val="top"/>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58" w:right="0" w:hanging="28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Классификация датчиков электромагнитного поля . . . .  . . . . . . . </w:t>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w:t>
            </w:r>
          </w:p>
        </w:tc>
      </w:tr>
      <w:tr>
        <w:trPr>
          <w:cantSplit w:val="0"/>
          <w:trHeight w:val="473" w:hRule="atLeast"/>
          <w:tblHeader w:val="0"/>
        </w:trPr>
        <w:tc>
          <w:tcPr>
            <w:vAlign w:val="top"/>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3" w:right="0" w:hanging="283"/>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2.2.1 Пути повышения точности датчиков частоты . . . . . . . . . . . .</w:t>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w:t>
            </w:r>
          </w:p>
        </w:tc>
      </w:tr>
      <w:tr>
        <w:trPr>
          <w:cantSplit w:val="0"/>
          <w:trHeight w:val="473" w:hRule="atLeast"/>
          <w:tblHeader w:val="0"/>
        </w:trPr>
        <w:tc>
          <w:tcPr>
            <w:vAlign w:val="top"/>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3" w:right="0" w:hanging="283"/>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2.2.2 Пути повышения точности датчиков поля . . . . . . . . . . . . . . .</w:t>
            </w:r>
          </w:p>
        </w:tc>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18</w:t>
            </w:r>
          </w:p>
        </w:tc>
      </w:tr>
      <w:tr>
        <w:trPr>
          <w:cantSplit w:val="0"/>
          <w:trHeight w:val="473" w:hRule="atLeast"/>
          <w:tblHeader w:val="0"/>
        </w:trPr>
        <w:tc>
          <w:tcPr>
            <w:vAlign w:val="top"/>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33" w:right="0" w:hanging="28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Разработка функциональной схемы датчика электромагнитных</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33" w:right="0" w:hanging="59.00000000000002"/>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колебаний . . . . . . . . . . . . . . . . . . . . . . . . . . . . . . . . . . . . . . . . . . . . . . . . . . </w:t>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27</w:t>
            </w:r>
          </w:p>
        </w:tc>
      </w:tr>
      <w:tr>
        <w:trPr>
          <w:cantSplit w:val="0"/>
          <w:tblHeader w:val="0"/>
        </w:trPr>
        <w:tc>
          <w:tcPr>
            <w:vAlign w:val="top"/>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58" w:right="0" w:hanging="28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Электронный датчик электромагнитных колебаний . . . . . . . . . . . </w:t>
            </w:r>
          </w:p>
        </w:tc>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27</w:t>
            </w:r>
          </w:p>
        </w:tc>
      </w:tr>
      <w:tr>
        <w:trPr>
          <w:cantSplit w:val="0"/>
          <w:trHeight w:val="833" w:hRule="atLeast"/>
          <w:tblHeader w:val="0"/>
        </w:trPr>
        <w:tc>
          <w:tcPr>
            <w:vAlign w:val="top"/>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58" w:right="0" w:hanging="28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Описание и обоснование метода измерения высокочастотных</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4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электромагнитных колебаний с помощью электронного датчика .</w:t>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w:t>
            </w:r>
          </w:p>
        </w:tc>
      </w:tr>
      <w:tr>
        <w:trPr>
          <w:cantSplit w:val="0"/>
          <w:tblHeader w:val="0"/>
        </w:trPr>
        <w:tc>
          <w:tcPr>
            <w:vAlign w:val="top"/>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2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Технико-экономическое обоснование . . . . . . . . . . . . . . . . . . . . . . . . . . . </w:t>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w:t>
            </w:r>
          </w:p>
        </w:tc>
      </w:tr>
      <w:tr>
        <w:trPr>
          <w:cantSplit w:val="0"/>
          <w:tblHeader w:val="0"/>
        </w:trPr>
        <w:tc>
          <w:tcPr>
            <w:vAlign w:val="top"/>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 . . . . . . . . . . . . . . . . . . . . . . . . . . . . . . . . . . . . . . . . . . . . . . . . . . </w:t>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w:t>
            </w:r>
          </w:p>
        </w:tc>
      </w:tr>
      <w:tr>
        <w:trPr>
          <w:cantSplit w:val="0"/>
          <w:tblHeader w:val="0"/>
        </w:trPr>
        <w:tc>
          <w:tcPr>
            <w:vAlign w:val="top"/>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использованных источников . . . . . . . . . . . . . . . . . . . . . . . . . . . . . </w:t>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53</w:t>
            </w:r>
          </w:p>
        </w:tc>
      </w:tr>
      <w:tr>
        <w:trPr>
          <w:cantSplit w:val="0"/>
          <w:tblHeader w:val="0"/>
        </w:trPr>
        <w:tc>
          <w:tcPr>
            <w:vAlign w:val="top"/>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А Схема электрическая принципиальная 001 ЭЗ</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59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 перечень элементов ХОПЗ . . . . . . . . . . . . . . . . . . . . . . . . . </w:t>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55</w:t>
            </w:r>
          </w:p>
        </w:tc>
      </w:tr>
      <w:tr>
        <w:trPr>
          <w:cantSplit w:val="0"/>
          <w:tblHeader w:val="0"/>
        </w:trPr>
        <w:tc>
          <w:tcPr>
            <w:vAlign w:val="top"/>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Б Волноводные характеристики экспериментальных</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59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образцов . . . . . . . . . . . . . . . . . . . . . . . . . . . . . . . . . . . . . . . . . </w:t>
            </w:r>
          </w:p>
        </w:tc>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56</w:t>
            </w:r>
          </w:p>
        </w:tc>
      </w:tr>
    </w:tbl>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yqrja8vyzkqi" w:id="30"/>
    <w:bookmarkEnd w:id="30"/>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br w:type="page"/>
      </w:r>
      <w:hyperlink w:anchor="_lt13geu5y4iw">
        <w:r w:rsidDel="00000000" w:rsidR="00000000" w:rsidRPr="00000000">
          <w:rPr>
            <w:rFonts w:ascii="Times New Roman" w:cs="Times New Roman" w:eastAsia="Times New Roman" w:hAnsi="Times New Roman"/>
            <w:b w:val="1"/>
            <w:bCs w:val="1"/>
            <w:i w:val="0"/>
            <w:iCs w:val="0"/>
            <w:smallCaps w:val="1"/>
            <w:strike w:val="0"/>
            <w:color w:val="0000ff"/>
            <w:sz w:val="28"/>
            <w:szCs w:val="28"/>
            <w:u w:val="none"/>
            <w:shd w:fill="auto" w:val="clear"/>
            <w:vertAlign w:val="baseline"/>
            <w:rtl w:val="0"/>
          </w:rPr>
          <w:t xml:space="preserve">ПРИЛОЖЕНИЕ Д</w:t>
        </w:r>
      </w:hyperlink>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Пример оформления перечня сокращений и обозначений</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ПЕРЕЧЕНЬ СОКРАЩЕНИЙ И ОБОЗНАЧЕНИЙ</w: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3"/>
        <w:tblW w:w="93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79"/>
        <w:gridCol w:w="7977"/>
        <w:tblGridChange w:id="0">
          <w:tblGrid>
            <w:gridCol w:w="1379"/>
            <w:gridCol w:w="7977"/>
          </w:tblGrid>
        </w:tblGridChange>
      </w:tblGrid>
      <w:tr>
        <w:trPr>
          <w:cantSplit w:val="0"/>
          <w:trHeight w:val="667" w:hRule="atLeast"/>
          <w:tblHeader w:val="0"/>
        </w:trPr>
        <w:tc>
          <w:tcPr>
            <w:vAlign w:val="center"/>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139700" cy="1651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39700" cy="1651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среднее число вызовов от одного источника в час наибольшей нагрузки</w:t>
            </w:r>
          </w:p>
        </w:tc>
      </w:tr>
      <w:tr>
        <w:trPr>
          <w:cantSplit w:val="0"/>
          <w:trHeight w:val="500" w:hRule="atLeast"/>
          <w:tblHeader w:val="0"/>
        </w:trPr>
        <w:tc>
          <w:tcPr>
            <w:vAlign w:val="cente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D</w:t>
            </w:r>
            <w:r w:rsidDel="00000000" w:rsidR="00000000" w:rsidRPr="00000000">
              <w:rPr>
                <w:rtl w:val="0"/>
              </w:rPr>
            </w:r>
          </w:p>
        </w:tc>
        <w:tc>
          <w:tcPr>
            <w:vAlign w:val="cente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Доступность</w:t>
            </w:r>
          </w:p>
        </w:tc>
      </w:tr>
      <w:tr>
        <w:trPr>
          <w:cantSplit w:val="0"/>
          <w:trHeight w:val="500" w:hRule="atLeast"/>
          <w:tblHeader w:val="0"/>
        </w:trPr>
        <w:tc>
          <w:tcPr>
            <w:vAlign w:val="cente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Е</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subscript"/>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tc>
        <w:tc>
          <w:tcPr>
            <w:vAlign w:val="center"/>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первая формула Эрланга</w:t>
            </w:r>
          </w:p>
        </w:tc>
      </w:tr>
      <w:tr>
        <w:trPr>
          <w:cantSplit w:val="0"/>
          <w:trHeight w:val="500" w:hRule="atLeast"/>
          <w:tblHeader w:val="0"/>
        </w:trPr>
        <w:tc>
          <w:tcPr>
            <w:vAlign w:val="cente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G</w:t>
            </w:r>
            <w:r w:rsidDel="00000000" w:rsidR="00000000" w:rsidRPr="00000000">
              <w:rPr>
                <w:rtl w:val="0"/>
              </w:rPr>
            </w:r>
          </w:p>
        </w:tc>
        <w:tc>
          <w:tcPr>
            <w:vAlign w:val="cente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число нагрузочных групп</w:t>
            </w:r>
          </w:p>
        </w:tc>
      </w:tr>
      <w:tr>
        <w:trPr>
          <w:cantSplit w:val="0"/>
          <w:trHeight w:val="500" w:hRule="atLeast"/>
          <w:tblHeader w:val="0"/>
        </w:trPr>
        <w:tc>
          <w:tcPr>
            <w:vAlign w:val="cente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w:t>
            </w:r>
            <w:r w:rsidDel="00000000" w:rsidR="00000000" w:rsidRPr="00000000">
              <w:rPr>
                <w:rtl w:val="0"/>
              </w:rPr>
            </w:r>
          </w:p>
        </w:tc>
        <w:tc>
          <w:tcPr>
            <w:vAlign w:val="cente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постоянная длительность занятия</w:t>
            </w:r>
          </w:p>
        </w:tc>
      </w:tr>
      <w:tr>
        <w:trPr>
          <w:cantSplit w:val="0"/>
          <w:trHeight w:val="500" w:hRule="atLeast"/>
          <w:tblHeader w:val="0"/>
        </w:trPr>
        <w:tc>
          <w:tcPr>
            <w:vAlign w:val="cente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tc>
        <w:tc>
          <w:tcPr>
            <w:vAlign w:val="cente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математическое ожидание случайной величины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х</w:t>
            </w:r>
            <w:r w:rsidDel="00000000" w:rsidR="00000000" w:rsidRPr="00000000">
              <w:rPr>
                <w:rtl w:val="0"/>
              </w:rPr>
            </w:r>
          </w:p>
        </w:tc>
      </w:tr>
      <w:tr>
        <w:trPr>
          <w:cantSplit w:val="0"/>
          <w:trHeight w:val="500" w:hRule="atLeast"/>
          <w:tblHeader w:val="0"/>
        </w:trPr>
        <w:tc>
          <w:tcPr>
            <w:vAlign w:val="cente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N</w:t>
            </w:r>
            <w:r w:rsidDel="00000000" w:rsidR="00000000" w:rsidRPr="00000000">
              <w:rPr>
                <w:rtl w:val="0"/>
              </w:rPr>
            </w:r>
          </w:p>
        </w:tc>
        <w:tc>
          <w:tcPr>
            <w:vAlign w:val="cente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число источников нагрузки</w:t>
            </w:r>
          </w:p>
        </w:tc>
      </w:tr>
      <w:tr>
        <w:trPr>
          <w:cantSplit w:val="0"/>
          <w:trHeight w:val="500" w:hRule="atLeast"/>
          <w:tblHeader w:val="0"/>
        </w:trPr>
        <w:tc>
          <w:tcPr>
            <w:vAlign w:val="cente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Р</w:t>
            </w:r>
            <w:r w:rsidDel="00000000" w:rsidR="00000000" w:rsidRPr="00000000">
              <w:rPr>
                <w:rtl w:val="0"/>
              </w:rPr>
            </w:r>
          </w:p>
        </w:tc>
        <w:tc>
          <w:tcPr>
            <w:vAlign w:val="cente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Вероятность</w:t>
            </w:r>
          </w:p>
        </w:tc>
      </w:tr>
      <w:tr>
        <w:trPr>
          <w:cantSplit w:val="0"/>
          <w:trHeight w:val="500" w:hRule="atLeast"/>
          <w:tblHeader w:val="0"/>
        </w:trPr>
        <w:tc>
          <w:tcPr>
            <w:vAlign w:val="cente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Р</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subscript"/>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Р</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bscript"/>
                <w:rtl w:val="0"/>
              </w:rPr>
              <w:t xml:space="preserve">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Р</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bscript"/>
                <w:rtl w:val="0"/>
              </w:rPr>
              <w:t xml:space="preserve">н</w:t>
            </w:r>
            <w:r w:rsidDel="00000000" w:rsidR="00000000" w:rsidRPr="00000000">
              <w:rPr>
                <w:rtl w:val="0"/>
              </w:rPr>
            </w:r>
          </w:p>
        </w:tc>
        <w:tc>
          <w:tcPr>
            <w:vAlign w:val="cente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потери по времени, вызовам, нагрузке</w:t>
            </w:r>
          </w:p>
        </w:tc>
      </w:tr>
      <w:tr>
        <w:trPr>
          <w:cantSplit w:val="0"/>
          <w:trHeight w:val="500" w:hRule="atLeast"/>
          <w:tblHeader w:val="0"/>
        </w:trPr>
        <w:tc>
          <w:tcPr>
            <w:vAlign w:val="cente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Q</w:t>
            </w:r>
            <w:r w:rsidDel="00000000" w:rsidR="00000000" w:rsidRPr="00000000">
              <w:rPr>
                <w:rtl w:val="0"/>
              </w:rPr>
            </w:r>
          </w:p>
        </w:tc>
        <w:tc>
          <w:tcPr>
            <w:vAlign w:val="cente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число выходов одного коммутатора в направлении</w:t>
            </w:r>
          </w:p>
        </w:tc>
      </w:tr>
      <w:tr>
        <w:trPr>
          <w:cantSplit w:val="0"/>
          <w:trHeight w:val="500" w:hRule="atLeast"/>
          <w:tblHeader w:val="0"/>
        </w:trPr>
        <w:tc>
          <w:tcPr>
            <w:vAlign w:val="cente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165100" cy="2032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65100" cy="2032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средняя длительность разговора</w:t>
            </w:r>
          </w:p>
        </w:tc>
      </w:tr>
      <w:tr>
        <w:trPr>
          <w:cantSplit w:val="0"/>
          <w:trHeight w:val="500" w:hRule="atLeast"/>
          <w:tblHeader w:val="0"/>
        </w:trPr>
        <w:tc>
          <w:tcPr>
            <w:vAlign w:val="center"/>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139700" cy="2032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39700" cy="2032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средняя длительность занятия линии</w:t>
            </w:r>
          </w:p>
        </w:tc>
      </w:tr>
      <w:tr>
        <w:trPr>
          <w:cantSplit w:val="0"/>
          <w:trHeight w:val="500" w:hRule="atLeast"/>
          <w:tblHeader w:val="0"/>
        </w:trPr>
        <w:tc>
          <w:tcPr>
            <w:vAlign w:val="cente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V</w:t>
            </w:r>
            <w:r w:rsidDel="00000000" w:rsidR="00000000" w:rsidRPr="00000000">
              <w:rPr>
                <w:rtl w:val="0"/>
              </w:rPr>
            </w:r>
          </w:p>
        </w:tc>
        <w:tc>
          <w:tcPr>
            <w:vAlign w:val="center"/>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число линий (приборов)</w:t>
            </w:r>
          </w:p>
        </w:tc>
      </w:tr>
      <w:tr>
        <w:trPr>
          <w:cantSplit w:val="0"/>
          <w:trHeight w:val="920" w:hRule="atLeast"/>
          <w:tblHeader w:val="0"/>
        </w:trPr>
        <w:tc>
          <w:tcPr>
            <w:vAlign w:val="center"/>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bscript"/>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bscript"/>
                <w:rtl w:val="0"/>
              </w:rPr>
              <w:t xml:space="preserve">п</w:t>
            </w:r>
            <w:r w:rsidDel="00000000" w:rsidR="00000000" w:rsidRPr="00000000">
              <w:rPr>
                <w:rtl w:val="0"/>
              </w:rPr>
            </w:r>
          </w:p>
        </w:tc>
        <w:tc>
          <w:tcPr>
            <w:vAlign w:val="center"/>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интенсивность поступающей, обслуженной, потерянной нагрузки</w:t>
            </w:r>
          </w:p>
        </w:tc>
      </w:tr>
      <w:tr>
        <w:trPr>
          <w:cantSplit w:val="0"/>
          <w:trHeight w:val="500" w:hRule="atLeast"/>
          <w:tblHeader w:val="0"/>
        </w:trPr>
        <w:tc>
          <w:tcPr>
            <w:vAlign w:val="cente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λ</w:t>
            </w:r>
            <w:r w:rsidDel="00000000" w:rsidR="00000000" w:rsidRPr="00000000">
              <w:rPr>
                <w:rtl w:val="0"/>
              </w:rPr>
            </w:r>
          </w:p>
        </w:tc>
        <w:tc>
          <w:tcPr>
            <w:vAlign w:val="cente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параметр входящего потока вызовов</w:t>
            </w:r>
          </w:p>
        </w:tc>
      </w:tr>
      <w:tr>
        <w:trPr>
          <w:cantSplit w:val="0"/>
          <w:trHeight w:val="500" w:hRule="atLeast"/>
          <w:tblHeader w:val="0"/>
        </w:trPr>
        <w:tc>
          <w:tcPr>
            <w:vAlign w:val="center"/>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μ</w:t>
            </w:r>
            <w:r w:rsidDel="00000000" w:rsidR="00000000" w:rsidRPr="00000000">
              <w:rPr>
                <w:rtl w:val="0"/>
              </w:rPr>
            </w:r>
          </w:p>
        </w:tc>
        <w:tc>
          <w:tcPr>
            <w:vAlign w:val="center"/>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интенсивность входящего потока вызовов</w:t>
            </w:r>
          </w:p>
        </w:tc>
      </w:tr>
      <w:tr>
        <w:trPr>
          <w:cantSplit w:val="0"/>
          <w:trHeight w:val="500" w:hRule="atLeast"/>
          <w:tblHeader w:val="0"/>
        </w:trPr>
        <w:tc>
          <w:tcPr>
            <w:vAlign w:val="cente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АТС</w:t>
            </w:r>
          </w:p>
        </w:tc>
        <w:tc>
          <w:tcPr>
            <w:vAlign w:val="cente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автоматическая телефонная станция</w:t>
            </w:r>
          </w:p>
        </w:tc>
      </w:tr>
      <w:tr>
        <w:trPr>
          <w:cantSplit w:val="0"/>
          <w:trHeight w:val="500" w:hRule="atLeast"/>
          <w:tblHeader w:val="0"/>
        </w:trPr>
        <w:tc>
          <w:tcPr>
            <w:vAlign w:val="center"/>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КС</w:t>
            </w:r>
          </w:p>
        </w:tc>
        <w:tc>
          <w:tcPr>
            <w:vAlign w:val="center"/>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коммутационная система</w:t>
            </w:r>
          </w:p>
        </w:tc>
      </w:tr>
      <w:tr>
        <w:trPr>
          <w:cantSplit w:val="0"/>
          <w:trHeight w:val="500" w:hRule="atLeast"/>
          <w:tblHeader w:val="0"/>
        </w:trPr>
        <w:tc>
          <w:tcPr>
            <w:vAlign w:val="center"/>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СМО</w:t>
            </w:r>
          </w:p>
        </w:tc>
        <w:tc>
          <w:tcPr>
            <w:vAlign w:val="center"/>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система массового обслуживания</w:t>
            </w:r>
          </w:p>
        </w:tc>
      </w:tr>
      <w:tr>
        <w:trPr>
          <w:cantSplit w:val="0"/>
          <w:trHeight w:val="500" w:hRule="atLeast"/>
          <w:tblHeader w:val="0"/>
        </w:trPr>
        <w:tc>
          <w:tcPr>
            <w:vAlign w:val="center"/>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ТТ</w:t>
            </w:r>
          </w:p>
        </w:tc>
        <w:tc>
          <w:tcPr>
            <w:vAlign w:val="center"/>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теория телетрафика</w:t>
            </w:r>
          </w:p>
        </w:tc>
      </w:tr>
      <w:tr>
        <w:trPr>
          <w:cantSplit w:val="0"/>
          <w:trHeight w:val="500" w:hRule="atLeast"/>
          <w:tblHeader w:val="0"/>
        </w:trPr>
        <w:tc>
          <w:tcPr>
            <w:vAlign w:val="cente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ЧНН</w:t>
            </w:r>
          </w:p>
        </w:tc>
        <w:tc>
          <w:tcPr>
            <w:vAlign w:val="cente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час наибольшей нагрузки</w:t>
            </w:r>
          </w:p>
        </w:tc>
      </w:tr>
      <w:tr>
        <w:trPr>
          <w:cantSplit w:val="0"/>
          <w:trHeight w:val="500" w:hRule="atLeast"/>
          <w:tblHeader w:val="0"/>
        </w:trPr>
        <w:tc>
          <w:tcPr>
            <w:vAlign w:val="center"/>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ЦСИО</w:t>
            </w:r>
          </w:p>
        </w:tc>
        <w:tc>
          <w:tcPr>
            <w:vAlign w:val="cente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цифровые системы интегрального обслуживания</w:t>
            </w:r>
          </w:p>
        </w:tc>
      </w:tr>
    </w:tbl>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ipxlqqj6ao4t" w:id="31"/>
    <w:bookmarkEnd w:id="31"/>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br w:type="page"/>
      </w:r>
      <w:hyperlink w:anchor="_lt13geu5y4iw">
        <w:r w:rsidDel="00000000" w:rsidR="00000000" w:rsidRPr="00000000">
          <w:rPr>
            <w:rFonts w:ascii="Times New Roman" w:cs="Times New Roman" w:eastAsia="Times New Roman" w:hAnsi="Times New Roman"/>
            <w:b w:val="1"/>
            <w:bCs w:val="1"/>
            <w:i w:val="0"/>
            <w:iCs w:val="0"/>
            <w:smallCaps w:val="1"/>
            <w:strike w:val="0"/>
            <w:color w:val="0000ff"/>
            <w:sz w:val="28"/>
            <w:szCs w:val="28"/>
            <w:u w:val="none"/>
            <w:shd w:fill="auto" w:val="clear"/>
            <w:vertAlign w:val="baseline"/>
            <w:rtl w:val="0"/>
          </w:rPr>
          <w:t xml:space="preserve">ПРИЛОЖЕНИЕ Е</w:t>
        </w:r>
      </w:hyperlink>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Пример оформления введения</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ВВЕДЕНИЕ</w:t>
      </w: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Р</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азработка оптических интегральных схем разнообразного функционального назначения связана с формированием элементов волноводного тракта таких схем на основе трёхмерных оптических волноводов на общей подложке. В связи с этим возникает проблема оптимального соединения различных волноводных структур друг с другом и проектирования основных элементов волноводного тракта этих схем, таких как волноводные пересечения, разветвления, изгибы. Такие структуры найдут широкое распространение при изготовлении электрооптических амплитудных модуляторов, переключателей.</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Волноводные разветвления, обладающие свойством синфазного деления мощности направляемого излучения, используются в качестве делителей мощности оптического излучения. Базовой конструкцией подобного делителя служит двухканальный разветвитель Y-типа или волноводный распределитель 1х2. Подобные элементы представляют собой существенные нерегулярные участки волноводов. Анализ и расчёт их вызывает большие трудности, связанные с появлением излучаемых волн в местах нерегулярности. Поэтому для практики представляют большой интерес различные приближенные методы расчёта подобных элементов волноводного тракта ОИС и особенно потерь на излучение.</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специальной литературе можно встретить описание различных методов, при помощи которых анализируются распределители оптического излучения различной топологии.</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Целью данной работы являлся исследование и разработка методики расчета относительных потерь в двухканальных оптических разветвителях на основе канальных диффузионных волноводов с учётом геометрических и технологических параметров.</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достижения этой цели необходимо решить следующие задачи:</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разработать новую физическую модель распространения излучения в разветвителях;</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провести расчёт относительных потерь на изгибах разветвителей;</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предложить технологические приёмы уменьшения потерь;</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провести экспериментальные измерения потерь излучения;</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разработать физико-математическую модель поляризатора.</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Полученные в данной работе результаты тесно связаны с научно-исследовательской работой, проводимой на кафедре оптоэлектроники КубГУ, и найдут реальное использование при проектировании различных связанных волноводных структур в ИО схемах и при выполнении расчётного лабораторного практикума по дисциплине «Оптоэлектроника».</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k3vgo3ejv4h3" w:id="32"/>
    <w:bookmarkEnd w:id="32"/>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8"/>
          <w:szCs w:val="28"/>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1"/>
          <w:strike w:val="0"/>
          <w:color w:val="0000ff"/>
          <w:sz w:val="28"/>
          <w:szCs w:val="28"/>
          <w:u w:val="none"/>
          <w:shd w:fill="auto" w:val="clear"/>
          <w:vertAlign w:val="baseline"/>
          <w:rtl w:val="0"/>
        </w:rPr>
        <w:t xml:space="preserve">ПРИЛОЖЕНИЕ Ж</w:t>
      </w: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Пример оформления заголовков разделов, подразделов и пунктов</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 Программная реализация основных типов вейвлет-преобразований</w:t>
      </w: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1.1 Вейвлеты типа «мексиканская шляпа»</w:t>
      </w: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Как уже отмечалось, на практике непрерывное изменение параметров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вызывает избыточность вейвлет-представления сигналов. Поэтому, как это описывалось в примере с вейвлетом Хаара, используется кратномасштабный (в частности, диадический) метод.</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частотной области малые значения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соответствуют высоким частотам, а большие – низким частотам. Таким образом, операция задания окна, используемая в оконном преобразовании Фурье, как бы заложена в самой базисной функции вейвлетов. Это создает предпосылки их приспособления (адаптации) к сигналам, которые могут быть представлены совокупностью вейвлетов.</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1.1.1 Непрерывные вейвлет-преобразования и построение их спектрограмм</w:t>
      </w: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данных примеров время вычислений составляет до нескольких минут. Это обусловлено тем, что вычисление определенных интегралов в системе компьютерной математики Маthcad реализуется довольно сложным адаптивным методом интегрирования. На практике для вейвлетов с компактным носителем нет никакой необходимости вычислять интегралы с бесконечными пределами. Можно учесть, что области изменения параметров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ограничены.</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8"/>
          <w:szCs w:val="28"/>
          <w:u w:val="none"/>
          <w:shd w:fill="auto" w:val="clear"/>
          <w:vertAlign w:val="baseline"/>
        </w:rPr>
      </w:pPr>
      <w:r w:rsidDel="00000000" w:rsidR="00000000" w:rsidRPr="00000000">
        <w:br w:type="page"/>
      </w:r>
      <w:hyperlink w:anchor="_lt13geu5y4iw">
        <w:r w:rsidDel="00000000" w:rsidR="00000000" w:rsidRPr="00000000">
          <w:rPr>
            <w:rFonts w:ascii="Times New Roman" w:cs="Times New Roman" w:eastAsia="Times New Roman" w:hAnsi="Times New Roman"/>
            <w:b w:val="1"/>
            <w:bCs w:val="1"/>
            <w:i w:val="0"/>
            <w:iCs w:val="0"/>
            <w:smallCaps w:val="1"/>
            <w:strike w:val="0"/>
            <w:color w:val="0000ff"/>
            <w:sz w:val="28"/>
            <w:szCs w:val="28"/>
            <w:u w:val="none"/>
            <w:shd w:fill="auto" w:val="clear"/>
            <w:vertAlign w:val="baseline"/>
            <w:rtl w:val="0"/>
          </w:rPr>
          <w:t xml:space="preserve">ПРИЛОЖЕНИЕ </w:t>
        </w:r>
      </w:hyperlink>
      <w:r w:rsidDel="00000000" w:rsidR="00000000" w:rsidRPr="00000000">
        <w:rPr>
          <w:rFonts w:ascii="Times New Roman" w:cs="Times New Roman" w:eastAsia="Times New Roman" w:hAnsi="Times New Roman"/>
          <w:b w:val="1"/>
          <w:bCs w:val="1"/>
          <w:i w:val="0"/>
          <w:iCs w:val="0"/>
          <w:smallCaps w:val="1"/>
          <w:strike w:val="0"/>
          <w:color w:val="0000ff"/>
          <w:sz w:val="28"/>
          <w:szCs w:val="28"/>
          <w:u w:val="none"/>
          <w:shd w:fill="auto" w:val="clear"/>
          <w:vertAlign w:val="baseline"/>
          <w:rtl w:val="0"/>
        </w:rPr>
        <w:t xml:space="preserve">И</w:t>
      </w: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Пример оформления рисунков</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3272155" cy="1326515"/>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272155" cy="1326515"/>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 генератор СВЧ; 2 – развязывающее устройство (вентиль, аттенюатор);</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 измерительная линия; 4 – индикатор (усилитель, приёмник СВЧ излучения);</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 исследуемый отрезок двухпроводной линии; 6 – короткозамыкатель</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1 – Блок-схема установки для измерения потерь</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отрезках двухпроводных линий</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3688080" cy="2146300"/>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68808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 +85 °С; 2 – +25 °С; 3 – </w:t>
      </w: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60 °С; 4 – термостабильная точка</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2 – Стокозатворные характеристики полевого транзистора</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различных температурах</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di7n4fu9905h" w:id="33"/>
    <w:bookmarkEnd w:id="33"/>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lt13geu5y4iw">
        <w:r w:rsidDel="00000000" w:rsidR="00000000" w:rsidRPr="00000000">
          <w:rPr>
            <w:rFonts w:ascii="Times New Roman" w:cs="Times New Roman" w:eastAsia="Times New Roman" w:hAnsi="Times New Roman"/>
            <w:b w:val="1"/>
            <w:bCs w:val="1"/>
            <w:i w:val="0"/>
            <w:iCs w:val="0"/>
            <w:smallCaps w:val="1"/>
            <w:strike w:val="0"/>
            <w:color w:val="0000ff"/>
            <w:sz w:val="28"/>
            <w:szCs w:val="28"/>
            <w:u w:val="none"/>
            <w:shd w:fill="auto" w:val="clear"/>
            <w:vertAlign w:val="baseline"/>
            <w:rtl w:val="0"/>
          </w:rPr>
          <w:t xml:space="preserve">ПРИЛОЖЕНИЕ К</w:t>
        </w:r>
      </w:hyperlink>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Пример оформления таблицы</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42"/>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Таблица 1 – Физические свойства некоторых металлов</w:t>
      </w:r>
    </w:p>
    <w:tbl>
      <w:tblPr>
        <w:tblStyle w:val="Table4"/>
        <w:tblW w:w="9072.0" w:type="dxa"/>
        <w:jc w:val="cente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33"/>
        <w:gridCol w:w="2101"/>
        <w:gridCol w:w="1797"/>
        <w:gridCol w:w="1682"/>
        <w:gridCol w:w="1659"/>
        <w:tblGridChange w:id="0">
          <w:tblGrid>
            <w:gridCol w:w="1833"/>
            <w:gridCol w:w="2101"/>
            <w:gridCol w:w="1797"/>
            <w:gridCol w:w="1682"/>
            <w:gridCol w:w="1659"/>
          </w:tblGrid>
        </w:tblGridChange>
      </w:tblGrid>
      <w:tr>
        <w:trPr>
          <w:cantSplit w:val="0"/>
          <w:tblHeader w:val="0"/>
        </w:trPr>
        <w:tc>
          <w:tcPr>
            <w:tcBorders>
              <w:top w:color="000000" w:space="0" w:sz="12" w:val="single"/>
            </w:tcBorders>
            <w:vAlign w:val="center"/>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Металл –</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highlight w:val="lightGray"/>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проводник</w:t>
            </w:r>
            <w:r w:rsidDel="00000000" w:rsidR="00000000" w:rsidRPr="00000000">
              <w:rPr>
                <w:rtl w:val="0"/>
              </w:rPr>
            </w:r>
          </w:p>
        </w:tc>
        <w:tc>
          <w:tcPr>
            <w:tcBorders>
              <w:top w:color="000000" w:space="0" w:sz="12" w:val="single"/>
            </w:tcBorders>
            <w:vAlign w:val="center"/>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Удельное</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сопротивление,</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highlight w:val="lightGray"/>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Ом </w:t>
            </w: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м</w:t>
            </w:r>
            <w:r w:rsidDel="00000000" w:rsidR="00000000" w:rsidRPr="00000000">
              <w:rPr>
                <w:rtl w:val="0"/>
              </w:rPr>
            </w:r>
          </w:p>
        </w:tc>
        <w:tc>
          <w:tcPr>
            <w:tcBorders>
              <w:top w:color="000000" w:space="0" w:sz="12" w:val="single"/>
            </w:tcBorders>
            <w:vAlign w:val="cente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Поверхностное</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сопротивление</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пленки,</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highlight w:val="lightGray"/>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Ом / м</w:t>
            </w:r>
            <w:r w:rsidDel="00000000" w:rsidR="00000000" w:rsidRPr="00000000">
              <w:rPr>
                <w:rtl w:val="0"/>
              </w:rPr>
            </w:r>
          </w:p>
        </w:tc>
        <w:tc>
          <w:tcPr>
            <w:tcBorders>
              <w:top w:color="000000" w:space="0" w:sz="12" w:val="single"/>
            </w:tcBorders>
            <w:vAlign w:val="center"/>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Температура</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плавления, </w:t>
            </w: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 = 1,3 Па</w:t>
            </w:r>
          </w:p>
        </w:tc>
        <w:tc>
          <w:tcPr>
            <w:tcBorders>
              <w:top w:color="000000" w:space="0" w:sz="12" w:val="single"/>
            </w:tcBorders>
            <w:vAlign w:val="center"/>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Адгезия</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 стеклянной</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подложке,</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отн. ед.</w:t>
            </w:r>
          </w:p>
        </w:tc>
      </w:tr>
      <w:tr>
        <w:trPr>
          <w:cantSplit w:val="0"/>
          <w:tblHeader w:val="0"/>
        </w:trPr>
        <w:tc>
          <w:tcPr>
            <w:vAlign w:val="center"/>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3"/>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Серебро</w:t>
            </w:r>
          </w:p>
        </w:tc>
        <w:tc>
          <w:tcPr>
            <w:vAlign w:val="center"/>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1,6</w:t>
            </w:r>
          </w:p>
        </w:tc>
        <w:tc>
          <w:tcPr>
            <w:vAlign w:val="center"/>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0,16</w:t>
            </w:r>
          </w:p>
        </w:tc>
        <w:tc>
          <w:tcPr>
            <w:vAlign w:val="center"/>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1047</w:t>
            </w:r>
          </w:p>
        </w:tc>
        <w:tc>
          <w:tcPr>
            <w:vAlign w:val="center"/>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r>
          </w:p>
        </w:tc>
      </w:tr>
      <w:tr>
        <w:trPr>
          <w:cantSplit w:val="0"/>
          <w:tblHeader w:val="0"/>
        </w:trPr>
        <w:tc>
          <w:tcPr>
            <w:vAlign w:val="cente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3"/>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Медь</w:t>
            </w:r>
          </w:p>
        </w:tc>
        <w:tc>
          <w:tcPr>
            <w:vAlign w:val="center"/>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1,7</w:t>
            </w:r>
          </w:p>
        </w:tc>
        <w:tc>
          <w:tcPr>
            <w:vAlign w:val="cente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0,20</w:t>
            </w:r>
          </w:p>
        </w:tc>
        <w:tc>
          <w:tcPr>
            <w:vAlign w:val="center"/>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1273</w:t>
            </w:r>
          </w:p>
        </w:tc>
        <w:tc>
          <w:tcPr>
            <w:vAlign w:val="center"/>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w:t>
            </w:r>
          </w:p>
        </w:tc>
      </w:tr>
      <w:tr>
        <w:trPr>
          <w:cantSplit w:val="0"/>
          <w:tblHeader w:val="0"/>
        </w:trPr>
        <w:tc>
          <w:tcPr>
            <w:vAlign w:val="center"/>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3"/>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Золото</w:t>
            </w:r>
          </w:p>
        </w:tc>
        <w:tc>
          <w:tcPr>
            <w:vAlign w:val="cente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w:t>
            </w:r>
          </w:p>
        </w:tc>
        <w:tc>
          <w:tcPr>
            <w:vAlign w:val="center"/>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0,27</w:t>
            </w:r>
          </w:p>
        </w:tc>
        <w:tc>
          <w:tcPr>
            <w:vAlign w:val="cente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1465</w:t>
            </w:r>
          </w:p>
        </w:tc>
        <w:tc>
          <w:tcPr>
            <w:vAlign w:val="center"/>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r>
      <w:tr>
        <w:trPr>
          <w:cantSplit w:val="0"/>
          <w:tblHeader w:val="0"/>
        </w:trPr>
        <w:tc>
          <w:tcPr>
            <w:vAlign w:val="center"/>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3"/>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Алюминий</w:t>
            </w:r>
          </w:p>
        </w:tc>
        <w:tc>
          <w:tcPr>
            <w:vAlign w:val="center"/>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2,6</w:t>
            </w:r>
          </w:p>
        </w:tc>
        <w:tc>
          <w:tcPr>
            <w:vAlign w:val="center"/>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0,33</w:t>
            </w:r>
          </w:p>
        </w:tc>
        <w:tc>
          <w:tcPr>
            <w:vAlign w:val="center"/>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996</w:t>
            </w:r>
          </w:p>
        </w:tc>
        <w:tc>
          <w:tcPr>
            <w:vAlign w:val="center"/>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w:t>
            </w:r>
          </w:p>
        </w:tc>
      </w:tr>
      <w:tr>
        <w:trPr>
          <w:cantSplit w:val="0"/>
          <w:tblHeader w:val="0"/>
        </w:trPr>
        <w:tc>
          <w:tcPr>
            <w:tcBorders>
              <w:bottom w:color="000000" w:space="0" w:sz="12" w:val="single"/>
            </w:tcBorders>
            <w:vAlign w:val="cente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3"/>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Молибден</w:t>
            </w:r>
          </w:p>
        </w:tc>
        <w:tc>
          <w:tcPr>
            <w:tcBorders>
              <w:bottom w:color="000000" w:space="0" w:sz="12" w:val="single"/>
            </w:tcBorders>
            <w:vAlign w:val="cente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5,0</w:t>
            </w:r>
          </w:p>
        </w:tc>
        <w:tc>
          <w:tcPr>
            <w:tcBorders>
              <w:bottom w:color="000000" w:space="0" w:sz="12" w:val="single"/>
            </w:tcBorders>
            <w:vAlign w:val="center"/>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1,00</w:t>
            </w:r>
          </w:p>
        </w:tc>
        <w:tc>
          <w:tcPr>
            <w:tcBorders>
              <w:bottom w:color="000000" w:space="0" w:sz="12" w:val="single"/>
            </w:tcBorders>
            <w:vAlign w:val="cente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2500</w:t>
            </w:r>
          </w:p>
        </w:tc>
        <w:tc>
          <w:tcPr>
            <w:tcBorders>
              <w:bottom w:color="000000" w:space="0" w:sz="12" w:val="single"/>
            </w:tcBorders>
            <w:vAlign w:val="cente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250</w:t>
            </w:r>
          </w:p>
        </w:tc>
      </w:tr>
    </w:tbl>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rdcpdj9zj7lc" w:id="34"/>
    <w:bookmarkEnd w:id="34"/>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br w:type="page"/>
      </w:r>
      <w:hyperlink w:anchor="_lt13geu5y4iw">
        <w:r w:rsidDel="00000000" w:rsidR="00000000" w:rsidRPr="00000000">
          <w:rPr>
            <w:rFonts w:ascii="Times New Roman" w:cs="Times New Roman" w:eastAsia="Times New Roman" w:hAnsi="Times New Roman"/>
            <w:b w:val="1"/>
            <w:bCs w:val="1"/>
            <w:i w:val="0"/>
            <w:iCs w:val="0"/>
            <w:smallCaps w:val="1"/>
            <w:strike w:val="0"/>
            <w:color w:val="0000ff"/>
            <w:sz w:val="28"/>
            <w:szCs w:val="28"/>
            <w:u w:val="none"/>
            <w:shd w:fill="auto" w:val="clear"/>
            <w:vertAlign w:val="baseline"/>
            <w:rtl w:val="0"/>
          </w:rPr>
          <w:t xml:space="preserve">ПРИЛОЖЕНИЕ Л</w:t>
        </w:r>
      </w:hyperlink>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Пример оформления заключения</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6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ЗАКЛЮЧЕНИЕ</w:t>
      </w: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Основные результаты выпускной квалификационной работы состоят в следующем:</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Предложен новый физический принцип поляризационной селекции излучения в интегральной оптике, использующий модовое двупреломление вблизи условий отсечки четырехслойных диэлектрических волноводов на основе изотропных слоев. Различие констант распространения вблизи условий отсечки четырехслойного волновода со специально подобранными параметрами соответствует существенному разнесению полей ТЕ– и ТМ-мод в пространстве, что может быть использовано для выделения одной из ортогонально-поляризованных волноводных мод. Для этих целей предложена волноводная структура, состоящая из слабонаправляющего волновода, локально нагруженного высокопреломляющей диэлектрической пленкой определенной толщины с показателем преломления, существенно превышающим показатель преломления волновода.</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теоретического и экспериментального исследования использовался одномодовый канальный и планарный ионообменные волноводы в стекле (показатель преломления стеклянной подложки 1,510 и приращение показателя преломления на поверхности 0,010, длина волны 0,6328 мкм). В качестве высокопреломляющего диэлектрического слоя использовалась однородная диэлектрическая пленка сульфида мышьяка As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 показателем преломления 2,50, окруженная сверху воздухом.</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Построена физико-математическая модель разработанных ТЕ– и ТМ-поляризаторов на основе полного электродинамического расчета волноводной структуры путём прямого решения векторного и скалярного волновых уравнений для модового анализа и анализа распространяющегося пучка.</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Физико-математическое моделирование осуществлялось путем полного векторного анализа поляризационных эффектов в трёхмерных и двухмерных интегрально-оптических волноводах и волноводных структурах общего вида. Модовый анализ оптических волноводов проводился путем применения известных численных методов решения векторного волнового уравнения.</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Изготовлены и экспериментально исследованы интегрально-оптические ТЕ– и ТМ-поляризаторы на основе ионообменных волноводов в стекле, локально покрытых высокопреломляющей диэлектрической пленкой сульфида мышьяка.</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9ozrf2dxjhnc" w:id="35"/>
    <w:bookmarkEnd w:id="35"/>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br w:type="page"/>
      </w:r>
      <w:hyperlink w:anchor="_lt13geu5y4iw">
        <w:r w:rsidDel="00000000" w:rsidR="00000000" w:rsidRPr="00000000">
          <w:rPr>
            <w:rFonts w:ascii="Times New Roman" w:cs="Times New Roman" w:eastAsia="Times New Roman" w:hAnsi="Times New Roman"/>
            <w:b w:val="1"/>
            <w:bCs w:val="1"/>
            <w:i w:val="0"/>
            <w:iCs w:val="0"/>
            <w:smallCaps w:val="1"/>
            <w:strike w:val="0"/>
            <w:color w:val="0000ff"/>
            <w:sz w:val="28"/>
            <w:szCs w:val="28"/>
            <w:u w:val="none"/>
            <w:shd w:fill="auto" w:val="clear"/>
            <w:vertAlign w:val="baseline"/>
            <w:rtl w:val="0"/>
          </w:rPr>
          <w:t xml:space="preserve">ПРИЛОЖЕНИЕ М</w:t>
        </w:r>
      </w:hyperlink>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Пример оформления списка использованных источников</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СПИСОК ИСПОЛЬЗОВАННЫХ ИСТОЧНИКОВ</w:t>
      </w: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Монографии, книги: один, два, три автора</w:t>
      </w: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Воробьев, С. Н. Цифровая обработка сигналов : учебник / С. В. Воробьев. – Москва : Издательский центр «Академия», 2013. – 320 с. – ISBN 978-5-7695-9569-8</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Гончаров, В. Д. Моделирование и прогнозирование агропромышленного комплекса / В. Д. Гончаров, С. Г. Сальников, А. Е. Петренко. – Хабаровск : Дальневосточный институт управления, 2018. – 116 с.</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 ISBN 978-5-6042601-4-</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Ушаков, Е. В. Философия и методология науки: учебник и практикум для бакалавриата и магистратуры / Е. В. Ушаков. – Москва : Юрайт, 2018. – 392 с. – URL: </w:t>
      </w:r>
      <w:hyperlink r:id="rId1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https://biblio-online.ru/bcode/413295</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25.11.2019). – ISBN 978-5-534-02637-5.</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4. Шангараев, Р. Н. История экономики : учебное пособие : практикум / Р. Н. Шангараев, Т. А. Мустафин.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 Москва : Сам полиграфист, 2018. – 124 с. – ISBN 978-5-00077-944-6.</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Frederick, L. The big change : America transforms itself / L. Frederick. – New York : Bantam Books, 2018. – 271 p. – ISBN 9781504037501.</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Книги, статьи: более трех авторов (источник описывается под заглавием, 4 автора пишутся полностью, а если больше четырех, то приводятся</w:t>
      </w: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первые 3 [и др.])</w:t>
      </w: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 Выбор оптимальных технологических линий по подготовке кормовых материалов к длительному хранению / С. В. Щитов, Ю. Р. Самарина, К. Б. Постовитенко, Е. С. Князева // АгроЭкоИнфо. – 2020. ‒ № 4. – URL: </w:t>
      </w:r>
      <w:hyperlink r:id="rId15">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http://agroecoinfo.narod.ru/journal/STATYI/2020/4/st_407.doc</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Дата публикации: 14.04.2020.</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 Программное обеспечение для обработки пространственной географической информации / Ю. Р. Архипов, В. М. Московкин, М. В. Панасюк [и др.] // Вестник Московского университета. Серия 5, География. – 2023. – № 4. – С. 10–14.</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 Распределенные интеллектуальные информационные системы и среды : монография / А. Н. Швецов, А. А. Суконщиков, Д. В. Кочкин [и др.]. – Курск : Университетская книга, 2017. – 196 с. –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ISBN 978-5-9909988-3-4.</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9. Цифровая трансформация Китая: опыт преобразования инфраструк-туры национальной экономики : перевод с китайского / Ма Хуатэн, Мэн Чжаоли, Ян Дели, Ван Хуалей.</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 Москва : Альпина Паблишер, 2019. – 249 с. – ISBN 978-5-6042878-1-1.</w:t>
      </w: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Издания с указанием редактора, составителя</w:t>
      </w: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 w:firstLine="68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Музей в меняющемся школьном мире : сборник / составитель Е. Б. Медведева. – Москва : Перспектива, 2021. – 191 с. – ISBN 978-5-905790-40-9.</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Справочник по интегральным микросхемам / под редакцией В. Ф. Тарабрина. – Москва : Энергия, 2024. – 584 с.</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617"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Статьи из журналов (не более трех авторов)</w:t>
      </w: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Болгова, Е. В. Пространственная организация вузовской сети в мировых образовательных моделях / Е. В. Болгова // Региональная экономика: теория и практика. – 2022. – Т. 17, вып. 8. – С. 1412–1430. </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Петрова, А. Г. Спектры ЭПР Cu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 Mn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поверхности кремния / А. Г. Петрова, И. В. Милешкина // Физика и техника полупроводников. – 2024. – Т. 5, № 6. – С. 1100–1143.</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 Хренов, Н. А. История кино 1970-х годов: история смены поколений или история смены систем видения? / Н. А. Хренов // Ярославский педагогический вестник. – 2023. – № 1. – С. 253–264. – URL: </w:t>
      </w:r>
      <w:hyperlink r:id="rId1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https://elibrary.ru/item.asp?id=29288773</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20.12.2024).</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 Garmire, E. Propagation losses in metal-film-substrate optical waveguides / E. Garmire, H. Stoll // IEEE Journal Quantum Electronics. – 2023. – Vol. 8, № 10. – P. 763–766.</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16. Hwang, Y.-A. A correction: Ranking authors using fractional counting of citations: An axiomatic approach / Y.-A. Hwang, C.-H. Chiu, J.-M. Shih // Journal of Informetrics. – 2024. – Vol. 13, № 3. – P. 769-770.</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Статьи из сборников научных трудов</w:t>
      </w: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17. Узлов, Ю. А. Причерноморье в контексте исторической интеграции / Ю. А. Узлов // Причерноморье в войнах и дипломатии Российского государства : сборник научных статей. – Краснодар : Кубанский государственный университет, 2023. – С. 28</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Тезисы докладов на конференциях</w:t>
      </w: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18. Нагалевский, Ю. Я. Перспективы развития туристско-рекре-ационного комплекса Краснодарского края на 2017</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2022 гг. / Ю. Я. Нагалевский, Э. Ю. Нагалевский // Курортно-рекреационный комплекс в системе регионального развития : материалы Международной научно-практической конференции (пос. Кабардинка, 2020). – Краснодар : Кубанский государственный университет, 2020. – С. 192</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196.</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19. Шевченко, И. А. Проблемы оценки стоимости имущества предприятий / И. В. Шевченко // Чековые фонды и инвестиционный процесс в Российской Федерации : тезисы докладов Международной научно-практической конференции (г. Сочи, 27–30 января 2024 г.). – Сочи : [б. и.], 2024. – С. 55.</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Депонированные рукописи</w:t>
      </w: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 Сиднев, В. Ф. Модели частиц в сильной гравитации / В. Ф. Сиднев ; Кубанский государственный университет. – Краснодар, 2015. – 20 с. – Деп. в ВИНИТИ 06.06.2015 № 139680.</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Электронные ресурсы (статьи, журналы, электронные издания,</w:t>
      </w: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данные с сайтов в сети Интернет)</w:t>
      </w: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3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Научная библиотека КубГУ // Кубанский государственный университет : [сайт]. – 2019. – URL: https://www.kubsu.ru/ru /university /library (дата обращения: 24.12.2019).</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Цветков, В. Я. Компьютерная графика : рабочая программа для студентов заочной формы обучения технических специальностей / В. Я. Цветков. – Москва : МИИГАиК, 2020. – 1СD-ROM. – Загл. с титул. экрана.</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Электронная библиотека: библиотека диссертаций : сайт / Российская государственная библиотека. – Москва : РГБ, 2003. – URL: </w:t>
      </w:r>
      <w:hyperlink r:id="rId1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http://diss.rsl.ru</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23.12.2023).</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Putnings, M. Non-Fungible Token (NFT) in the Academic and Open Access Publishing Environment: Considerations Towards Science-Friendly Scenarios / M. Putnings // The Journal of Electronic Publishing. – 2022. – Vol. 25, № 2. – URL: https://journals.publishing.umich.edu/jep/article/id/2574/. – Дата публикации: 09.12.22. </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 Rick Cowles // Stantec : [сайт]. – 2023. – URL: https://www.stantec.com/en/people/c/cowles-rick (дата обращения: 29.03.2023).</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Диссертации, авторефераты диссертаций</w:t>
      </w: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26. Назаренко, И. А. Физические свойства реальных поверхностей германия и кремния при адсорбции примесей металлов : специальность 01.02.14 «Физика атома, атомного ядра и элементарных частиц» : диссертация на соискание ученой степени кандидата физико-математических наук / Назаренко Иван Александрович ; Кубанский государственный университет. – Краснодар, 2021. – 224 с.</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27. Назаренко, И. А. Физические свойства реальных поверхностей германия и кремния при адсорбции примесей металлов : специальность 01.02.14 «Физика атома, атомного ядра и элементарных частиц» : автореферат диссертации на соискание ученой степени кандидата физико-математических наук / Назаренко Иван Александрович ; Кубанский государственный университет. – Краснодар, 2021. – 27 с. – Место защиты: Кубанский государственный университет.</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Авторское свидетельство</w:t>
      </w: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28. А. с. 31986 СССР, MKИ</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 25 J 15/00. Способ измерения мощности электромагнитного поля / Н. А. Панекин, В. С. Ваулин. – № 130786/26-9; заявлено 17.02.10; опубликовано 30.03.11, Бюл. № 12.</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Свидетельства о государственной регистрации программ для ЭВМ</w:t>
      </w: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29. Свидетельство о государственной регистрации программы для ЭВМ № 950092 Российская Федерация. Информационно-поисковая система КонсультантПлюс : заявлено 30.01.1995 : опубликовано 20.04.1995 / Зиновьев  П. А., Жиляев А. И. ; правообладатель ЗАО «КонсультантПлюс», Бюл. № 4. – Зарегистрировано в Реестре программ для ЭВМ.</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Стандарты</w:t>
      </w: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30. ГОСТ Р 51771–2009. Аппаратура радиоэлектронная бытовая. Входные и выходные параметры и типы соединителей. Технические требования : национальный стандарт Российской Федерации : издание официальное : утвержден и введен в действие Постановлением Госстандарта России от 28 июня 2001 года № 255-ст : введен впервые : дата введения 2002–01–01 / разработан Всероссийским научно-исследовательским институтом «Эталон». – Москва : Стандартинформ, 2010. – 28 с. : табл.</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Отчеты о НИР</w:t>
      </w: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Проведение испытаний и исследование теплотехнических свойств камер КХ-2-12-ВЗ и КХ-2-12-ВЗБ  : отчет о НИР / руководитель В. М. Шавра ; Всесоюзный институт пищевой промышленности. – Москва, 2023. – 90 с. – Рег. № НИОКТР АААА-А16-116041350230-6. – Рег. № ИКРБС АААА-Б19-219100290023-3.</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Методическое пособие</w:t>
      </w: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Никитин, В. А. Физические технологии интегральной оптики : лабораторный практикум / В. А. Никитин, А. С. Левченко, Н. А. Яковенко. – Краснодар : Кубанский государственный университет, 2022. – 134 с.</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Патентные документы</w:t>
      </w: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Заявка 1095735 Российская Федерация, МПК</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superscript"/>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 64 G 1/00. Одноразовая ракета-носитель [Текст] / Тернер Э. В. (США) ; заявитель Спейс Системз/Лорал, инк. ; патентный поверенный Егорова Г. Б. – № 2000108705/28 ; заявлено 07.04.2000 ; опубликовано 10.03.2001, Бюл. № 7 (I ч.) ; приоритет 09.04.1999, № 09/289, 037 (США). – 5 с. : ил.</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 Патент № 007559 Российская Федерация, МПК</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superscript"/>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 02 M 35/10. Выпускной трубопровод для двигателя внутреннего сгорания : № 2782807/25 : заявлено 22.01.1999 : опубликовано 10.05.2001 / Урбин М., Манилин А. ; патентообладатель Чентро Ричерке Фиат С.П.А. – 3 с.</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 Патент № 6094296 США, МПК</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superscript"/>
          <w:rtl w:val="0"/>
        </w:rPr>
        <w:t xml:space="preserve">7</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 01 S 3/00. Optical amplication apparatus : № 08/898423 : заявлено 22.07.1997 : опубликовано 25.07.20000 / Dusa D. , Fitlde T. ; патентообладатель General electric Сo. – 4 с.</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36. Патент № 2422889 Российская Федерация, МПК</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superscript"/>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G06F 17/00 (2006.01). Определяющие поля для представляемых файлов и схемы расширяемого языка разметки для библиографий и цитирования : № 2007138848/08 : заявлено 14.04.2006 : опубликовано 27.06.2011 / Михельштейн Д. П. ; заявитель и патентообладатель Майкрософт Корпорейшн. – 3 с.</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footerReference r:id="rId18" w:type="default"/>
      <w:footerReference r:id="rId19" w:type="first"/>
      <w:pgSz w:h="16838" w:w="11906" w:orient="portrait"/>
      <w:pgMar w:bottom="1134" w:top="1134" w:left="1701"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Symbo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agroecoinfo.narod.ru/journal/STATYI/2020/4/st_407.doc" TargetMode="External"/><Relationship Id="rId14" Type="http://schemas.openxmlformats.org/officeDocument/2006/relationships/hyperlink" Target="https://biblio-online.ru/bcode/413295%20" TargetMode="External"/><Relationship Id="rId17" Type="http://schemas.openxmlformats.org/officeDocument/2006/relationships/hyperlink" Target="http://diss.rsl.ru/" TargetMode="External"/><Relationship Id="rId16" Type="http://schemas.openxmlformats.org/officeDocument/2006/relationships/hyperlink" Target="https://elibrary.ru/item.asp?id=29288773"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https://kubsu.ru/ru/ftf/" TargetMode="External"/><Relationship Id="rId18" Type="http://schemas.openxmlformats.org/officeDocument/2006/relationships/footer" Target="footer2.xml"/><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ies>
</file>