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1A9261" w14:textId="77777777" w:rsidR="009B7054" w:rsidRDefault="005C3C76">
      <w:pPr>
        <w:spacing w:after="20"/>
      </w:pPr>
      <w:r>
        <w:rPr>
          <w:b/>
          <w:bCs/>
          <w:color w:val="1F3864"/>
          <w:sz w:val="30"/>
          <w:szCs w:val="30"/>
        </w:rPr>
        <w:t>Endo-FM Frozen-Feature Benchmark on Kvasir-Capsule</w:t>
      </w:r>
    </w:p>
    <w:p w14:paraId="396E9DC8" w14:textId="77777777" w:rsidR="009B7054" w:rsidRDefault="005C3C76">
      <w:pPr>
        <w:pBdr>
          <w:bottom w:val="single" w:sz="8" w:space="4" w:color="1F3864"/>
        </w:pBdr>
        <w:spacing w:after="160"/>
      </w:pPr>
      <w:r>
        <w:rPr>
          <w:i/>
          <w:iCs/>
          <w:color w:val="595959"/>
          <w:sz w:val="18"/>
          <w:szCs w:val="18"/>
        </w:rPr>
        <w:t>Linear-probe evaluation of the Endo-FM ViT-B/16 TimeSformer as a frozen feature extractor  ·  2026-09-23</w:t>
      </w:r>
    </w:p>
    <w:p w14:paraId="63A7D5F3" w14:textId="77777777" w:rsidR="009B7054" w:rsidRDefault="005C3C76">
      <w:pPr>
        <w:pStyle w:val="Heading2"/>
        <w:spacing w:after="60"/>
      </w:pPr>
      <w:r>
        <w:rPr>
          <w:b/>
          <w:bCs/>
          <w:color w:val="1F3864"/>
          <w:sz w:val="22"/>
          <w:szCs w:val="22"/>
        </w:rPr>
        <w:t>Approach</w:t>
      </w:r>
    </w:p>
    <w:p w14:paraId="38C7B261" w14:textId="77777777" w:rsidR="009B7054" w:rsidRDefault="005C3C76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19"/>
          <w:szCs w:val="19"/>
        </w:rPr>
        <w:t xml:space="preserve">Why this dataset: </w:t>
      </w:r>
      <w:r>
        <w:rPr>
          <w:sz w:val="19"/>
          <w:szCs w:val="19"/>
        </w:rPr>
        <w:t>Endo-FM's own downstream benchmarks (PolypDiag / CVC-12k / KUMC) are unreachable — the authors' preprocessed data and checkpoints are on dead SharePoint links. Kvasir-Capsule (11-class GI pathology-finding labels) was used as a still-live substitute.</w:t>
      </w:r>
    </w:p>
    <w:p w14:paraId="60130AAE" w14:textId="77777777" w:rsidR="009B7054" w:rsidRDefault="005C3C76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19"/>
          <w:szCs w:val="19"/>
        </w:rPr>
        <w:t xml:space="preserve">Method: </w:t>
      </w:r>
      <w:r>
        <w:rPr>
          <w:sz w:val="19"/>
          <w:szCs w:val="19"/>
        </w:rPr>
        <w:t>frozen Endo-FM backbone → 768-d CLS-token feature per frame (still frames replicated across the model's 8-frame temporal window) → logistic-regression linear probe (class-balanced). No fine-tuning of the backbone.</w:t>
      </w:r>
    </w:p>
    <w:p w14:paraId="558D8E13" w14:textId="77777777" w:rsidR="009B7054" w:rsidRDefault="005C3C76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19"/>
          <w:szCs w:val="19"/>
        </w:rPr>
        <w:t xml:space="preserve">Protocol: </w:t>
      </w:r>
      <w:r>
        <w:rPr>
          <w:sz w:val="19"/>
          <w:szCs w:val="19"/>
        </w:rPr>
        <w:t>official 2-fold split (train fold 0 / test fold 1, and vice versa), averaged — the community-standard evaluation for this dataset.</w:t>
      </w:r>
    </w:p>
    <w:p w14:paraId="32905914" w14:textId="77777777" w:rsidR="009B7054" w:rsidRDefault="005C3C76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19"/>
          <w:szCs w:val="19"/>
        </w:rPr>
        <w:t xml:space="preserve">Control: </w:t>
      </w:r>
      <w:r>
        <w:rPr>
          <w:sz w:val="19"/>
          <w:szCs w:val="19"/>
        </w:rPr>
        <w:t>identical architecture with random-initialized weights, run through the same protocol, to isolate what pretraining specifically contributes.</w:t>
      </w:r>
    </w:p>
    <w:p w14:paraId="66B61680" w14:textId="77777777" w:rsidR="009B7054" w:rsidRDefault="005C3C76">
      <w:pPr>
        <w:pStyle w:val="Heading2"/>
        <w:spacing w:before="160" w:after="80"/>
      </w:pPr>
      <w:r>
        <w:rPr>
          <w:b/>
          <w:bCs/>
          <w:color w:val="1F3864"/>
          <w:sz w:val="22"/>
          <w:szCs w:val="22"/>
        </w:rPr>
        <w:t>Results</w:t>
      </w:r>
    </w:p>
    <w:tbl>
      <w:tblPr>
        <w:tblW w:w="102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12"/>
        <w:gridCol w:w="5112"/>
      </w:tblGrid>
      <w:tr w:rsidR="009B7054" w14:paraId="35F2F841" w14:textId="77777777">
        <w:tblPrEx>
          <w:tblCellMar>
            <w:top w:w="0" w:type="dxa"/>
            <w:bottom w:w="0" w:type="dxa"/>
          </w:tblCellMar>
        </w:tblPrEx>
        <w:tc>
          <w:tcPr>
            <w:tcW w:w="51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A1C37" w14:textId="77777777" w:rsidR="009B7054" w:rsidRDefault="005C3C76">
            <w:pPr>
              <w:spacing w:after="20"/>
              <w:jc w:val="center"/>
            </w:pPr>
            <w:r>
              <w:rPr>
                <w:color w:val="595959"/>
                <w:sz w:val="16"/>
                <w:szCs w:val="16"/>
              </w:rPr>
              <w:t>ENDO-FM (PRETRAINED)  ·  mean accuracy / macro-F1</w:t>
            </w:r>
          </w:p>
          <w:p w14:paraId="37696384" w14:textId="77777777" w:rsidR="009B7054" w:rsidRDefault="005C3C76">
            <w:pPr>
              <w:jc w:val="center"/>
            </w:pPr>
            <w:r>
              <w:rPr>
                <w:b/>
                <w:bCs/>
                <w:color w:val="2E7D32"/>
                <w:sz w:val="26"/>
                <w:szCs w:val="26"/>
              </w:rPr>
              <w:t>66.3%   /   0.190</w:t>
            </w:r>
          </w:p>
        </w:tc>
        <w:tc>
          <w:tcPr>
            <w:tcW w:w="51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B8A67" w14:textId="77777777" w:rsidR="009B7054" w:rsidRDefault="005C3C76">
            <w:pPr>
              <w:spacing w:after="20"/>
              <w:jc w:val="center"/>
            </w:pPr>
            <w:r>
              <w:rPr>
                <w:color w:val="595959"/>
                <w:sz w:val="16"/>
                <w:szCs w:val="16"/>
              </w:rPr>
              <w:t>RANDOM-INIT (CONTROL)  ·  mean accuracy / macro-F1</w:t>
            </w:r>
          </w:p>
          <w:p w14:paraId="78998E3F" w14:textId="77777777" w:rsidR="009B7054" w:rsidRDefault="005C3C76">
            <w:pPr>
              <w:jc w:val="center"/>
            </w:pPr>
            <w:r>
              <w:rPr>
                <w:b/>
                <w:bCs/>
                <w:color w:val="595959"/>
                <w:sz w:val="26"/>
                <w:szCs w:val="26"/>
              </w:rPr>
              <w:t>19.2%   /   0.159</w:t>
            </w:r>
          </w:p>
        </w:tc>
      </w:tr>
    </w:tbl>
    <w:p w14:paraId="452AA8B5" w14:textId="77777777" w:rsidR="009B7054" w:rsidRDefault="005C3C76">
      <w:pPr>
        <w:spacing w:before="100" w:after="40"/>
      </w:pPr>
      <w:r>
        <w:rPr>
          <w:b/>
          <w:bCs/>
          <w:color w:val="595959"/>
          <w:sz w:val="18"/>
          <w:szCs w:val="18"/>
        </w:rPr>
        <w:t>Per-class F1 (Endo-FM, both folds pooled):</w:t>
      </w:r>
    </w:p>
    <w:p w14:paraId="10971274" w14:textId="77777777" w:rsidR="009B7054" w:rsidRDefault="005C3C76">
      <w:pPr>
        <w:spacing w:after="20"/>
      </w:pPr>
      <w:r>
        <w:rPr>
          <w:b/>
          <w:bCs/>
          <w:color w:val="2E7D32"/>
          <w:sz w:val="18"/>
          <w:szCs w:val="18"/>
        </w:rPr>
        <w:t xml:space="preserve">Strong: </w:t>
      </w:r>
      <w:r>
        <w:rPr>
          <w:sz w:val="18"/>
          <w:szCs w:val="18"/>
        </w:rPr>
        <w:t>Normal 0.85 (72.8% of frames) Pylorus 0.37 Ileo-cecal valve 0.29 Reduced Mucosal View 0.23</w:t>
      </w:r>
    </w:p>
    <w:p w14:paraId="0EABB8CC" w14:textId="77777777" w:rsidR="009B7054" w:rsidRDefault="005C3C76">
      <w:r>
        <w:rPr>
          <w:b/>
          <w:bCs/>
          <w:color w:val="B00020"/>
          <w:sz w:val="18"/>
          <w:szCs w:val="18"/>
        </w:rPr>
        <w:t xml:space="preserve">Near-failing: </w:t>
      </w:r>
      <w:r>
        <w:rPr>
          <w:sz w:val="18"/>
          <w:szCs w:val="18"/>
        </w:rPr>
        <w:t>Blood 0.00 Erosion 0.01 Erythematous 0.01 Angiectasia 0.05 Ulcer 0.09 Lymphangiectasia 0.10</w:t>
      </w:r>
    </w:p>
    <w:p w14:paraId="6CDD169D" w14:textId="77777777" w:rsidR="009B7054" w:rsidRDefault="005C3C76">
      <w:pPr>
        <w:pStyle w:val="Heading2"/>
        <w:spacing w:before="180" w:after="80"/>
      </w:pPr>
      <w:r>
        <w:rPr>
          <w:b/>
          <w:bCs/>
          <w:color w:val="1F3864"/>
          <w:sz w:val="22"/>
          <w:szCs w:val="22"/>
        </w:rPr>
        <w:t>Insights</w:t>
      </w:r>
    </w:p>
    <w:p w14:paraId="78B98130" w14:textId="77777777" w:rsidR="009B7054" w:rsidRDefault="005C3C76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19"/>
          <w:szCs w:val="19"/>
        </w:rPr>
        <w:t xml:space="preserve">Accuracy is misleading here: </w:t>
      </w:r>
      <w:r>
        <w:rPr>
          <w:sz w:val="19"/>
          <w:szCs w:val="19"/>
        </w:rPr>
        <w:t>“Normal” alone is 72.8% of all frames, so a trivial always-predict-Normal rule beats Endo-FM's 66.3% accuracy. Accuracy is not a meaningful headline metric on this imbalanced dataset.</w:t>
      </w:r>
    </w:p>
    <w:p w14:paraId="7F9E0DE3" w14:textId="77777777" w:rsidR="009B7054" w:rsidRDefault="005C3C76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19"/>
          <w:szCs w:val="19"/>
        </w:rPr>
        <w:t xml:space="preserve">Macro-F1 gap over random-init is small and not clean: </w:t>
      </w:r>
      <w:r>
        <w:rPr>
          <w:sz w:val="19"/>
          <w:szCs w:val="19"/>
        </w:rPr>
        <w:t>0.190 vs. 0.159 — and the two conditions' per-fold ranges overlap (one random-init fold scored higher than one Endo-FM fold). Not a statistically decisive signal that pretraining helps here.</w:t>
      </w:r>
    </w:p>
    <w:p w14:paraId="6D87BC9E" w14:textId="77777777" w:rsidR="009B7054" w:rsidRDefault="005C3C76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19"/>
          <w:szCs w:val="19"/>
        </w:rPr>
        <w:t xml:space="preserve">Pretrained features work on majority/landmark classes, not pathology: </w:t>
      </w:r>
      <w:r>
        <w:rPr>
          <w:sz w:val="19"/>
          <w:szCs w:val="19"/>
        </w:rPr>
        <w:t>Endo-FM discriminates “Normal” and a couple of visually distinct anatomical landmarks, but is close to non-functional on the actual finding classes (Blood, Erosion, Erythematous, Angiectasia, Ulcer) that matter clinically.</w:t>
      </w:r>
    </w:p>
    <w:p w14:paraId="0B5BDCAF" w14:textId="77777777" w:rsidR="009B7054" w:rsidRDefault="005C3C76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19"/>
          <w:szCs w:val="19"/>
        </w:rPr>
        <w:t xml:space="preserve">Not a clean generalization test: </w:t>
      </w:r>
      <w:r>
        <w:rPr>
          <w:sz w:val="19"/>
          <w:szCs w:val="19"/>
        </w:rPr>
        <w:t>Kvasir-Capsule is itself part of Endo-FM's own self-supervised pretraining corpus, so even this modest result is measured on data the backbone already saw unlabeled — not zero-shot transfer.</w:t>
      </w:r>
    </w:p>
    <w:p w14:paraId="5E2DCC9C" w14:textId="77777777" w:rsidR="009B7054" w:rsidRDefault="005C3C76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19"/>
          <w:szCs w:val="19"/>
        </w:rPr>
        <w:t xml:space="preserve">Implication: </w:t>
      </w:r>
      <w:r>
        <w:rPr>
          <w:sz w:val="19"/>
          <w:szCs w:val="19"/>
        </w:rPr>
        <w:t>before relying on this backbone's frozen features for fine-grained finding/pathology recognition in a downstream pipeline, treat this as a caution flag rather than a validated green light.</w:t>
      </w:r>
    </w:p>
    <w:sectPr w:rsidR="009B7054">
      <w:pgSz w:w="12240" w:h="15840"/>
      <w:pgMar w:top="1008" w:right="1008" w:bottom="1008" w:left="1008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C824E9"/>
    <w:multiLevelType w:val="hybridMultilevel"/>
    <w:tmpl w:val="911412AC"/>
    <w:lvl w:ilvl="0" w:tplc="CAE2DF7A">
      <w:start w:val="1"/>
      <w:numFmt w:val="bullet"/>
      <w:lvlText w:val="•"/>
      <w:lvlJc w:val="left"/>
      <w:pPr>
        <w:ind w:left="260" w:hanging="200"/>
      </w:pPr>
    </w:lvl>
    <w:lvl w:ilvl="1" w:tplc="0EDA1F24">
      <w:numFmt w:val="decimal"/>
      <w:lvlText w:val=""/>
      <w:lvlJc w:val="left"/>
    </w:lvl>
    <w:lvl w:ilvl="2" w:tplc="2CB46696">
      <w:numFmt w:val="decimal"/>
      <w:lvlText w:val=""/>
      <w:lvlJc w:val="left"/>
    </w:lvl>
    <w:lvl w:ilvl="3" w:tplc="DF8A691E">
      <w:numFmt w:val="decimal"/>
      <w:lvlText w:val=""/>
      <w:lvlJc w:val="left"/>
    </w:lvl>
    <w:lvl w:ilvl="4" w:tplc="2A128212">
      <w:numFmt w:val="decimal"/>
      <w:lvlText w:val=""/>
      <w:lvlJc w:val="left"/>
    </w:lvl>
    <w:lvl w:ilvl="5" w:tplc="8F948A8A">
      <w:numFmt w:val="decimal"/>
      <w:lvlText w:val=""/>
      <w:lvlJc w:val="left"/>
    </w:lvl>
    <w:lvl w:ilvl="6" w:tplc="734CC48A">
      <w:numFmt w:val="decimal"/>
      <w:lvlText w:val=""/>
      <w:lvlJc w:val="left"/>
    </w:lvl>
    <w:lvl w:ilvl="7" w:tplc="8932C07E">
      <w:numFmt w:val="decimal"/>
      <w:lvlText w:val=""/>
      <w:lvlJc w:val="left"/>
    </w:lvl>
    <w:lvl w:ilvl="8" w:tplc="522EFEAE">
      <w:numFmt w:val="decimal"/>
      <w:lvlText w:val=""/>
      <w:lvlJc w:val="left"/>
    </w:lvl>
  </w:abstractNum>
  <w:abstractNum w:abstractNumId="1" w15:restartNumberingAfterBreak="0">
    <w:nsid w:val="37BF5641"/>
    <w:multiLevelType w:val="hybridMultilevel"/>
    <w:tmpl w:val="AFA86D66"/>
    <w:lvl w:ilvl="0" w:tplc="58B0BD58">
      <w:start w:val="1"/>
      <w:numFmt w:val="bullet"/>
      <w:lvlText w:val="●"/>
      <w:lvlJc w:val="left"/>
      <w:pPr>
        <w:ind w:left="720" w:hanging="360"/>
      </w:pPr>
    </w:lvl>
    <w:lvl w:ilvl="1" w:tplc="58205ED2">
      <w:start w:val="1"/>
      <w:numFmt w:val="bullet"/>
      <w:lvlText w:val="○"/>
      <w:lvlJc w:val="left"/>
      <w:pPr>
        <w:ind w:left="1440" w:hanging="360"/>
      </w:pPr>
    </w:lvl>
    <w:lvl w:ilvl="2" w:tplc="F57C3E60">
      <w:start w:val="1"/>
      <w:numFmt w:val="bullet"/>
      <w:lvlText w:val="■"/>
      <w:lvlJc w:val="left"/>
      <w:pPr>
        <w:ind w:left="2160" w:hanging="360"/>
      </w:pPr>
    </w:lvl>
    <w:lvl w:ilvl="3" w:tplc="39FCF9AC">
      <w:start w:val="1"/>
      <w:numFmt w:val="bullet"/>
      <w:lvlText w:val="●"/>
      <w:lvlJc w:val="left"/>
      <w:pPr>
        <w:ind w:left="2880" w:hanging="360"/>
      </w:pPr>
    </w:lvl>
    <w:lvl w:ilvl="4" w:tplc="DDB2913E">
      <w:start w:val="1"/>
      <w:numFmt w:val="bullet"/>
      <w:lvlText w:val="○"/>
      <w:lvlJc w:val="left"/>
      <w:pPr>
        <w:ind w:left="3600" w:hanging="360"/>
      </w:pPr>
    </w:lvl>
    <w:lvl w:ilvl="5" w:tplc="7AE2D348">
      <w:start w:val="1"/>
      <w:numFmt w:val="bullet"/>
      <w:lvlText w:val="■"/>
      <w:lvlJc w:val="left"/>
      <w:pPr>
        <w:ind w:left="4320" w:hanging="360"/>
      </w:pPr>
    </w:lvl>
    <w:lvl w:ilvl="6" w:tplc="30AEF6AA">
      <w:start w:val="1"/>
      <w:numFmt w:val="bullet"/>
      <w:lvlText w:val="●"/>
      <w:lvlJc w:val="left"/>
      <w:pPr>
        <w:ind w:left="5040" w:hanging="360"/>
      </w:pPr>
    </w:lvl>
    <w:lvl w:ilvl="7" w:tplc="9232F94E">
      <w:start w:val="1"/>
      <w:numFmt w:val="bullet"/>
      <w:lvlText w:val="●"/>
      <w:lvlJc w:val="left"/>
      <w:pPr>
        <w:ind w:left="5760" w:hanging="360"/>
      </w:pPr>
    </w:lvl>
    <w:lvl w:ilvl="8" w:tplc="B3AEB298">
      <w:start w:val="1"/>
      <w:numFmt w:val="bullet"/>
      <w:lvlText w:val="●"/>
      <w:lvlJc w:val="left"/>
      <w:pPr>
        <w:ind w:left="6480" w:hanging="360"/>
      </w:pPr>
    </w:lvl>
  </w:abstractNum>
  <w:num w:numId="1" w16cid:durableId="427234051">
    <w:abstractNumId w:val="1"/>
    <w:lvlOverride w:ilvl="0">
      <w:startOverride w:val="1"/>
    </w:lvlOverride>
  </w:num>
  <w:num w:numId="2" w16cid:durableId="88907658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7054"/>
    <w:rsid w:val="005C3C76"/>
    <w:rsid w:val="009B7054"/>
    <w:rsid w:val="00B776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9EB1610"/>
  <w15:docId w15:val="{449E1573-56D5-4F06-898A-5E3597CA2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336</Words>
  <Characters>2181</Characters>
  <Application>Microsoft Office Word</Application>
  <DocSecurity>0</DocSecurity>
  <Lines>32</Lines>
  <Paragraphs>21</Paragraphs>
  <ScaleCrop>false</ScaleCrop>
  <Company/>
  <LinksUpToDate>false</LinksUpToDate>
  <CharactersWithSpaces>2523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debjyoti adhikary</cp:lastModifiedBy>
  <cp:revision>2</cp:revision>
  <cp:lastPrinted>2026-09-23T11:04:00Z</cp:lastPrinted>
  <dcterms:created xsi:type="dcterms:W3CDTF">2026-09-23T11:03:00Z</dcterms:created>
  <dcterms:modified xsi:type="dcterms:W3CDTF">2026-09-23T11:04:00Z</dcterms:modified>
</cp:coreProperties>
</file>