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cfcaca" w:space="0" w:sz="5" w:val="dashed"/>
          <w:right w:color="auto" w:space="0" w:sz="0" w:val="none"/>
        </w:pBdr>
        <w:shd w:fill="ffffff" w:val="clear"/>
        <w:spacing w:after="220" w:before="300" w:line="335.99999999999994" w:lineRule="auto"/>
        <w:rPr/>
      </w:pPr>
      <w:bookmarkStart w:colFirst="0" w:colLast="0" w:name="_qonp0xtpm9tg" w:id="0"/>
      <w:bookmarkEnd w:id="0"/>
      <w:r w:rsidDel="00000000" w:rsidR="00000000" w:rsidRPr="00000000">
        <w:rPr>
          <w:rtl w:val="0"/>
        </w:rPr>
        <w:t xml:space="preserve">Usare Wireshark per esaminare traffico HTTP/HTTPS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Accediamo al Cyberops Workstation, accediamo al terminale e prepariamo un tcpdump del traffico internet:</w:t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571500</wp:posOffset>
            </wp:positionV>
            <wp:extent cx="6872288" cy="7048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2288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Il traffico HTTP ascoltato è della pagina login del sito web “altoromutual.com”, il quale non è cifrato.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Apriamo il file .pcap del traffico appena registrato su Wireshark e localizziamo la richiesta POST contenente le informazioni di login: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È stato poi provato con il traffico HTTPS, che usa un Secure Sockets Layer/Transport Layer Security per criptare le informazioni che prima potevano benissimo essere viste in chiaro.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