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b/>
          <w:bCs/>
          <w:color w:val="1A130C"/>
          <w:sz w:val="56"/>
          <w:szCs w:val="56"/>
        </w:rPr>
        <w:t xml:space="preserve">KANON</w:t>
      </w:r>
    </w:p>
    <w:p>
      <w:pPr>
        <w:pBdr>
          <w:bottom w:val="single" w:color="B8960C" w:sz="12" w:space="4"/>
        </w:pBdr>
        <w:spacing w:after="40"/>
      </w:pPr>
      <w:r>
        <w:rPr>
          <w:color w:val="8B1A1A"/>
          <w:sz w:val="27"/>
          <w:szCs w:val="27"/>
        </w:rPr>
        <w:t xml:space="preserve">Fasting Engine — Authoring &amp; Verification Brief</w:t>
      </w:r>
    </w:p>
    <w:p>
      <w:pPr>
        <w:spacing w:after="40" w:before="120"/>
      </w:pPr>
      <w:r>
        <w:rPr>
          <w:i/>
          <w:iCs/>
          <w:color w:val="5F5E5A"/>
          <w:sz w:val="22"/>
          <w:szCs w:val="22"/>
        </w:rPr>
        <w:t xml:space="preserve">For the rule author, the reviewing priest, the dev, and the wellbeing reviewer.</w:t>
      </w:r>
    </w:p>
    <w:p>
      <w:pPr>
        <w:spacing w:after="160"/>
      </w:pPr>
      <w:r>
        <w:rPr>
          <w:color w:val="5F5E5A"/>
          <w:sz w:val="20"/>
          <w:szCs w:val="20"/>
        </w:rPr>
        <w:t xml:space="preserve">v1 scope: Roman only — Ordinary Form (current discipline) and Extraordinary Form (1962). Orthodox is a named fast-follow. A Lampstand product.</w:t>
      </w:r>
    </w:p>
    <w:p>
      <w:pPr>
        <w:pBdr>
          <w:bottom w:val="single" w:color="C9BFA8" w:sz="6" w:space="1"/>
        </w:pBdr>
        <w:spacing w:after="160" w:before="60"/>
      </w:pPr>
      <w:r>
        <w:t xml:space="preserve"/>
      </w:r>
    </w:p>
    <w:p>
      <w:pPr>
        <w:pStyle w:val="Heading1"/>
      </w:pPr>
      <w:r>
        <w:t xml:space="preserve">0. Read this first</w:t>
      </w:r>
    </w:p>
    <w:p>
      <w:pPr>
        <w:spacing w:after="120" w:line="276"/>
      </w:pPr>
      <w:r>
        <w:t xml:space="preserve">This document specifies what the fasting engine’s rule content must contain, how each rule must be sourced, and the QA gates every rule clears before it ships. It is the fasting equivalent of the patron authoring brief, and it is held to a higher verification standard, because of what is at stake.</w:t>
      </w:r>
    </w:p>
    <w:p>
      <w:pPr>
        <w:pBdr>
          <w:left w:val="single" w:color="B8960C" w:sz="18" w:space="14"/>
        </w:pBdr>
        <w:spacing w:after="160" w:before="120" w:line="276"/>
        <w:ind w:left="360"/>
      </w:pPr>
      <w:r>
        <w:rPr>
          <w:i/>
          <w:iCs/>
          <w:color w:val="1A130C"/>
        </w:rPr>
        <w:t xml:space="preserve">The saint content, if a line is slightly off, is a quality problem. A fasting rule, if it is wrong, tells a serious Catholic they are bound when they are free, or free when they are bound. People will keep the Church’s law by what this engine says. That is why sourcing and priest review here are load-bearing, not a final polish.</w:t>
      </w:r>
    </w:p>
    <w:p>
      <w:pPr>
        <w:spacing w:after="60" w:line="276"/>
      </w:pPr>
      <w:r>
        <w:t xml:space="preserve">A hard boundary for whoever drafts this: the rule determinations come from the primary sources, verified by a competent reviewer. They are not synthesized from memory or from secondary summaries, however confident. Where a rule cannot be cleanly sourced, it is flagged and left to the priest, not guessed.</w:t>
      </w:r>
    </w:p>
    <w:p>
      <w:pPr>
        <w:spacing w:after="120" w:line="276"/>
      </w:pPr>
      <w:r>
        <w:rPr>
          <w:b/>
          <w:bCs/>
        </w:rPr>
        <w:t xml:space="preserve">The engine’s shape, so the content is authored to fit it: </w:t>
      </w:r>
      <w:r>
        <w:t xml:space="preserve">a calendar produces day-facts (date, rank, color, season, feast keys), imported from Introibo’s existing verified calendar work. A separate rule resolver takes those day-facts plus the user’s tradition, personal, and routine layers and produces today’s obligation. The author writes the resolver’s rule content. The author never re-derives the calendar.</w:t>
      </w:r>
    </w:p>
    <w:p>
      <w:pPr>
        <w:pBdr>
          <w:bottom w:val="single" w:color="C9BFA8" w:sz="6" w:space="1"/>
        </w:pBdr>
        <w:spacing w:after="160" w:before="60"/>
      </w:pPr>
      <w:r>
        <w:t xml:space="preserve"/>
      </w:r>
    </w:p>
    <w:p>
      <w:pPr>
        <w:pStyle w:val="Heading1"/>
      </w:pPr>
      <w:r>
        <w:t xml:space="preserve">1. The two rule corpora to author</w:t>
      </w:r>
    </w:p>
    <w:p>
      <w:pPr>
        <w:spacing w:after="120" w:line="276"/>
      </w:pPr>
      <w:r>
        <w:t xml:space="preserve">The core deliverable is two complete, sourced rule sets, each mapping a day-fact to an obligation. Author them separately; they are different bodies of law.</w:t>
      </w:r>
    </w:p>
    <w:p>
      <w:pPr>
        <w:pStyle w:val="Heading2"/>
      </w:pPr>
      <w:r>
        <w:t xml:space="preserve">1.1 Current discipline (Ordinary Form, 1983 Code)</w:t>
      </w:r>
    </w:p>
    <w:p>
      <w:pPr>
        <w:spacing w:after="120" w:line="276"/>
      </w:pPr>
      <w:r>
        <w:t xml:space="preserve">The lighter corpus. Must specify:</w:t>
      </w:r>
    </w:p>
    <w:p>
      <w:pPr>
        <w:pStyle w:val="ListParagraph"/>
        <w:numPr>
          <w:ilvl w:val="0"/>
          <w:numId w:val="2"/>
        </w:numPr>
        <w:spacing w:after="70" w:line="270"/>
      </w:pPr>
      <w:r>
        <w:t xml:space="preserve">Obligatory days: Ash Wednesday and Good Friday (fast and abstinence); all Fridays of Lent (abstinence); the year-round Friday penitential obligation and the permitted ways to satisfy it.</w:t>
      </w:r>
    </w:p>
    <w:p>
      <w:pPr>
        <w:pStyle w:val="ListParagraph"/>
        <w:numPr>
          <w:ilvl w:val="0"/>
          <w:numId w:val="2"/>
        </w:numPr>
        <w:spacing w:after="70" w:line="270"/>
      </w:pPr>
      <w:r>
        <w:t xml:space="preserve">Binding ages for fast and for abstinence (they differ; state each exactly).</w:t>
      </w:r>
    </w:p>
    <w:p>
      <w:pPr>
        <w:pStyle w:val="ListParagraph"/>
        <w:numPr>
          <w:ilvl w:val="0"/>
          <w:numId w:val="2"/>
        </w:numPr>
        <w:spacing w:after="70" w:line="270"/>
      </w:pPr>
      <w:r>
        <w:t xml:space="preserve">How the year-round Friday penance may be fulfilled, including substitution where the conference permits it.</w:t>
      </w:r>
    </w:p>
    <w:p>
      <w:pPr>
        <w:pStyle w:val="ListParagraph"/>
        <w:numPr>
          <w:ilvl w:val="0"/>
          <w:numId w:val="2"/>
        </w:numPr>
        <w:spacing w:after="70" w:line="270"/>
      </w:pPr>
      <w:r>
        <w:rPr>
          <w:b/>
          <w:bCs/>
        </w:rPr>
        <w:t xml:space="preserve">Country/conference scope. </w:t>
      </w:r>
      <w:r>
        <w:t xml:space="preserve">The Friday-penance application is set by the bishops’ conference and is country-specific. Decide and state whether v1 is US-norms-only or handles multiple conferences (see the scope decision in section 7).</w:t>
      </w:r>
    </w:p>
    <w:p>
      <w:pPr>
        <w:spacing w:after="120" w:line="276"/>
      </w:pPr>
      <w:r>
        <w:rPr>
          <w:b/>
          <w:bCs/>
        </w:rPr>
        <w:t xml:space="preserve">Source against: </w:t>
      </w:r>
      <w:r>
        <w:t xml:space="preserve">the 1983 Code canons on penitential days and times, and the USCCB particular norms for the United States (or the relevant conference’s norms if scope is broader).</w:t>
      </w:r>
    </w:p>
    <w:p>
      <w:pPr>
        <w:pStyle w:val="Heading2"/>
      </w:pPr>
      <w:r>
        <w:t xml:space="preserve">1.2 1962 discipline (Extraordinary Form)</w:t>
      </w:r>
    </w:p>
    <w:p>
      <w:pPr>
        <w:spacing w:after="120" w:line="276"/>
      </w:pPr>
      <w:r>
        <w:t xml:space="preserve">The heavier corpus, and the one that earns the app credibility with the traditional audience. Must specify:</w:t>
      </w:r>
    </w:p>
    <w:p>
      <w:pPr>
        <w:pStyle w:val="ListParagraph"/>
        <w:numPr>
          <w:ilvl w:val="0"/>
          <w:numId w:val="2"/>
        </w:numPr>
        <w:spacing w:after="70" w:line="270"/>
      </w:pPr>
      <w:r>
        <w:t xml:space="preserve">Days of fast: the weekdays of Lent, the Ember Days across all four sets, and the retained vigils that carry a fast.</w:t>
      </w:r>
    </w:p>
    <w:p>
      <w:pPr>
        <w:pStyle w:val="ListParagraph"/>
        <w:numPr>
          <w:ilvl w:val="0"/>
          <w:numId w:val="2"/>
        </w:numPr>
        <w:spacing w:after="70" w:line="270"/>
      </w:pPr>
      <w:r>
        <w:t xml:space="preserve">Days of abstinence, days of fast-and-abstinence, and the distinction between full and partial abstinence, which exists in the older law and is exactly the nuance a serious user will check.</w:t>
      </w:r>
    </w:p>
    <w:p>
      <w:pPr>
        <w:pStyle w:val="ListParagraph"/>
        <w:numPr>
          <w:ilvl w:val="0"/>
          <w:numId w:val="2"/>
        </w:numPr>
        <w:spacing w:after="70" w:line="270"/>
      </w:pPr>
      <w:r>
        <w:t xml:space="preserve">Binding ages under the older code (they differ from the current ones).</w:t>
      </w:r>
    </w:p>
    <w:p>
      <w:pPr>
        <w:pStyle w:val="ListParagraph"/>
        <w:numPr>
          <w:ilvl w:val="0"/>
          <w:numId w:val="2"/>
        </w:numPr>
        <w:spacing w:after="70" w:line="270"/>
      </w:pPr>
      <w:r>
        <w:t xml:space="preserve">Interaction with feast rank: a feast of sufficient rank lifting an abstinence, with the rank threshold stated.</w:t>
      </w:r>
    </w:p>
    <w:p>
      <w:pPr>
        <w:spacing w:after="120" w:line="276"/>
      </w:pPr>
      <w:r>
        <w:rPr>
          <w:b/>
          <w:bCs/>
        </w:rPr>
        <w:t xml:space="preserve">Source against: </w:t>
      </w:r>
      <w:r>
        <w:t xml:space="preserve">the 1917 Code and the pre-conciliar penitential and rubrical law. This is specialist territory and likely needs a reviewer who actually knows the older discipline, not a general reference work.</w:t>
      </w:r>
    </w:p>
    <w:p>
      <w:pPr>
        <w:pStyle w:val="Heading2"/>
      </w:pPr>
      <w:r>
        <w:t xml:space="preserve">1.3 The per-rule record (what the author produces for each day-type)</w:t>
      </w:r>
    </w:p>
    <w:p>
      <w:pPr>
        <w:spacing w:after="120" w:line="276"/>
      </w:pPr>
      <w:r>
        <w:t xml:space="preserve">For every distinct day-type in each corpus, the author produces one structured record. This is what the engine consumes and what the priest signs off line by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BFA8" w:sz="1"/>
              <w:left w:val="single" w:color="C9BFA8" w:sz="1"/>
              <w:bottom w:val="single" w:color="C9BFA8" w:sz="1"/>
              <w:right w:val="single" w:color="C9BFA8" w:sz="1"/>
            </w:tcBorders>
            <w:shd w:fill="1A130C" w:val="clear"/>
            <w:tcMar>
              <w:top w:type="dxa" w:w="80"/>
              <w:left w:type="dxa" w:w="120"/>
              <w:bottom w:type="dxa" w:w="80"/>
              <w:right w:type="dxa" w:w="120"/>
            </w:tcMar>
          </w:tcPr>
          <w:p>
            <w:pPr>
              <w:spacing w:after="0" w:line="264"/>
            </w:pPr>
            <w:r>
              <w:rPr>
                <w:b/>
                <w:bCs/>
                <w:color w:val="FFFFFF"/>
                <w:sz w:val="19"/>
                <w:szCs w:val="19"/>
              </w:rPr>
              <w:t xml:space="preserve">Field</w:t>
            </w:r>
          </w:p>
        </w:tc>
        <w:tc>
          <w:tcPr>
            <w:tcW w:type="dxa" w:w="6760"/>
            <w:tcBorders>
              <w:top w:val="single" w:color="C9BFA8" w:sz="1"/>
              <w:left w:val="single" w:color="C9BFA8" w:sz="1"/>
              <w:bottom w:val="single" w:color="C9BFA8" w:sz="1"/>
              <w:right w:val="single" w:color="C9BFA8" w:sz="1"/>
            </w:tcBorders>
            <w:shd w:fill="1A130C" w:val="clear"/>
            <w:tcMar>
              <w:top w:type="dxa" w:w="80"/>
              <w:left w:type="dxa" w:w="120"/>
              <w:bottom w:type="dxa" w:w="80"/>
              <w:right w:type="dxa" w:w="120"/>
            </w:tcMar>
          </w:tcPr>
          <w:p>
            <w:pPr>
              <w:spacing w:after="0" w:line="264"/>
            </w:pPr>
            <w:r>
              <w:rPr>
                <w:b/>
                <w:bCs/>
                <w:color w:val="FFFFFF"/>
                <w:sz w:val="19"/>
                <w:szCs w:val="19"/>
              </w:rPr>
              <w:t xml:space="preserve">What it holds</w:t>
            </w:r>
          </w:p>
        </w:tc>
      </w:tr>
      <w:tr>
        <w:trPr>
          <w:tblHeader w:val="false"/>
        </w:trPr>
        <w:tc>
          <w:tcPr>
            <w:tcW w:type="dxa" w:w="2600"/>
            <w:tcBorders>
              <w:top w:val="single" w:color="C9BFA8" w:sz="1"/>
              <w:left w:val="single" w:color="C9BFA8" w:sz="1"/>
              <w:bottom w:val="single" w:color="C9BFA8" w:sz="1"/>
              <w:right w:val="single" w:color="C9BFA8" w:sz="1"/>
            </w:tcBorders>
            <w:shd w:fill="F2E8D0" w:val="clear"/>
            <w:tcMar>
              <w:top w:type="dxa" w:w="80"/>
              <w:left w:type="dxa" w:w="120"/>
              <w:bottom w:type="dxa" w:w="80"/>
              <w:right w:type="dxa" w:w="120"/>
            </w:tcMar>
          </w:tcPr>
          <w:p>
            <w:pPr>
              <w:spacing w:after="0" w:line="264"/>
            </w:pPr>
            <w:r>
              <w:rPr>
                <w:b/>
                <w:bCs/>
                <w:color w:val="1A130C"/>
                <w:sz w:val="19"/>
                <w:szCs w:val="19"/>
              </w:rPr>
              <w:t xml:space="preserve">Obligation</w:t>
            </w:r>
          </w:p>
        </w:tc>
        <w:tc>
          <w:tcPr>
            <w:tcW w:type="dxa" w:w="676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none / abstinence / fast / fast-and-abstinence (and full vs. partial abstinence for EF)</w:t>
            </w:r>
          </w:p>
        </w:tc>
      </w:tr>
      <w:tr>
        <w:trPr>
          <w:tblHeader w:val="false"/>
        </w:trPr>
        <w:tc>
          <w:tcPr>
            <w:tcW w:type="dxa" w:w="2600"/>
            <w:tcBorders>
              <w:top w:val="single" w:color="C9BFA8" w:sz="1"/>
              <w:left w:val="single" w:color="C9BFA8" w:sz="1"/>
              <w:bottom w:val="single" w:color="C9BFA8" w:sz="1"/>
              <w:right w:val="single" w:color="C9BFA8" w:sz="1"/>
            </w:tcBorders>
            <w:shd w:fill="F2E8D0" w:val="clear"/>
            <w:tcMar>
              <w:top w:type="dxa" w:w="80"/>
              <w:left w:type="dxa" w:w="120"/>
              <w:bottom w:type="dxa" w:w="80"/>
              <w:right w:type="dxa" w:w="120"/>
            </w:tcMar>
          </w:tcPr>
          <w:p>
            <w:pPr>
              <w:spacing w:after="0" w:line="264"/>
            </w:pPr>
            <w:r>
              <w:rPr>
                <w:b/>
                <w:bCs/>
                <w:color w:val="1A130C"/>
                <w:sz w:val="19"/>
                <w:szCs w:val="19"/>
              </w:rPr>
              <w:t xml:space="preserve">Binds whom</w:t>
            </w:r>
          </w:p>
        </w:tc>
        <w:tc>
          <w:tcPr>
            <w:tcW w:type="dxa" w:w="676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the age range, and any state conditions</w:t>
            </w:r>
          </w:p>
        </w:tc>
      </w:tr>
      <w:tr>
        <w:trPr>
          <w:tblHeader w:val="false"/>
        </w:trPr>
        <w:tc>
          <w:tcPr>
            <w:tcW w:type="dxa" w:w="2600"/>
            <w:tcBorders>
              <w:top w:val="single" w:color="C9BFA8" w:sz="1"/>
              <w:left w:val="single" w:color="C9BFA8" w:sz="1"/>
              <w:bottom w:val="single" w:color="C9BFA8" w:sz="1"/>
              <w:right w:val="single" w:color="C9BFA8" w:sz="1"/>
            </w:tcBorders>
            <w:shd w:fill="F2E8D0" w:val="clear"/>
            <w:tcMar>
              <w:top w:type="dxa" w:w="80"/>
              <w:left w:type="dxa" w:w="120"/>
              <w:bottom w:type="dxa" w:w="80"/>
              <w:right w:type="dxa" w:w="120"/>
            </w:tcMar>
          </w:tcPr>
          <w:p>
            <w:pPr>
              <w:spacing w:after="0" w:line="264"/>
            </w:pPr>
            <w:r>
              <w:rPr>
                <w:b/>
                <w:bCs/>
                <w:color w:val="1A130C"/>
                <w:sz w:val="19"/>
                <w:szCs w:val="19"/>
              </w:rPr>
              <w:t xml:space="preserve">What satisfies it</w:t>
            </w:r>
          </w:p>
        </w:tc>
        <w:tc>
          <w:tcPr>
            <w:tcW w:type="dxa" w:w="676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what keeping the day actually requires; substitution if permitted</w:t>
            </w:r>
          </w:p>
        </w:tc>
      </w:tr>
      <w:tr>
        <w:trPr>
          <w:tblHeader w:val="false"/>
        </w:trPr>
        <w:tc>
          <w:tcPr>
            <w:tcW w:type="dxa" w:w="2600"/>
            <w:tcBorders>
              <w:top w:val="single" w:color="C9BFA8" w:sz="1"/>
              <w:left w:val="single" w:color="C9BFA8" w:sz="1"/>
              <w:bottom w:val="single" w:color="C9BFA8" w:sz="1"/>
              <w:right w:val="single" w:color="C9BFA8" w:sz="1"/>
            </w:tcBorders>
            <w:shd w:fill="F2E8D0" w:val="clear"/>
            <w:tcMar>
              <w:top w:type="dxa" w:w="80"/>
              <w:left w:type="dxa" w:w="120"/>
              <w:bottom w:type="dxa" w:w="80"/>
              <w:right w:type="dxa" w:w="120"/>
            </w:tcMar>
          </w:tcPr>
          <w:p>
            <w:pPr>
              <w:spacing w:after="0" w:line="264"/>
            </w:pPr>
            <w:r>
              <w:rPr>
                <w:b/>
                <w:bCs/>
                <w:color w:val="1A130C"/>
                <w:sz w:val="19"/>
                <w:szCs w:val="19"/>
              </w:rPr>
              <w:t xml:space="preserve">Lifts / exceptions</w:t>
            </w:r>
          </w:p>
        </w:tc>
        <w:tc>
          <w:tcPr>
            <w:tcW w:type="dxa" w:w="676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ranks or solemnities that lift it; transfer behavior</w:t>
            </w:r>
          </w:p>
        </w:tc>
      </w:tr>
      <w:tr>
        <w:trPr>
          <w:tblHeader w:val="false"/>
        </w:trPr>
        <w:tc>
          <w:tcPr>
            <w:tcW w:type="dxa" w:w="2600"/>
            <w:tcBorders>
              <w:top w:val="single" w:color="C9BFA8" w:sz="1"/>
              <w:left w:val="single" w:color="C9BFA8" w:sz="1"/>
              <w:bottom w:val="single" w:color="C9BFA8" w:sz="1"/>
              <w:right w:val="single" w:color="C9BFA8" w:sz="1"/>
            </w:tcBorders>
            <w:shd w:fill="F2E8D0" w:val="clear"/>
            <w:tcMar>
              <w:top w:type="dxa" w:w="80"/>
              <w:left w:type="dxa" w:w="120"/>
              <w:bottom w:type="dxa" w:w="80"/>
              <w:right w:type="dxa" w:w="120"/>
            </w:tcMar>
          </w:tcPr>
          <w:p>
            <w:pPr>
              <w:spacing w:after="0" w:line="264"/>
            </w:pPr>
            <w:r>
              <w:rPr>
                <w:b/>
                <w:bCs/>
                <w:color w:val="1A130C"/>
                <w:sz w:val="19"/>
                <w:szCs w:val="19"/>
              </w:rPr>
              <w:t xml:space="preserve">Source</w:t>
            </w:r>
          </w:p>
        </w:tc>
        <w:tc>
          <w:tcPr>
            <w:tcW w:type="dxa" w:w="676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the citable primary source for this exact determination</w:t>
            </w:r>
          </w:p>
        </w:tc>
      </w:tr>
      <w:tr>
        <w:trPr>
          <w:tblHeader w:val="false"/>
        </w:trPr>
        <w:tc>
          <w:tcPr>
            <w:tcW w:type="dxa" w:w="2600"/>
            <w:tcBorders>
              <w:top w:val="single" w:color="C9BFA8" w:sz="1"/>
              <w:left w:val="single" w:color="C9BFA8" w:sz="1"/>
              <w:bottom w:val="single" w:color="C9BFA8" w:sz="1"/>
              <w:right w:val="single" w:color="C9BFA8" w:sz="1"/>
            </w:tcBorders>
            <w:shd w:fill="F2E8D0" w:val="clear"/>
            <w:tcMar>
              <w:top w:type="dxa" w:w="80"/>
              <w:left w:type="dxa" w:w="120"/>
              <w:bottom w:type="dxa" w:w="80"/>
              <w:right w:type="dxa" w:w="120"/>
            </w:tcMar>
          </w:tcPr>
          <w:p>
            <w:pPr>
              <w:spacing w:after="0" w:line="264"/>
            </w:pPr>
            <w:r>
              <w:rPr>
                <w:b/>
                <w:bCs/>
                <w:color w:val="1A130C"/>
                <w:sz w:val="19"/>
                <w:szCs w:val="19"/>
              </w:rPr>
              <w:t xml:space="preserve">Review status</w:t>
            </w:r>
          </w:p>
        </w:tc>
        <w:tc>
          <w:tcPr>
            <w:tcW w:type="dxa" w:w="676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drafted / priest-confirmed / flagged</w:t>
            </w:r>
          </w:p>
        </w:tc>
      </w:tr>
    </w:tbl>
    <w:p>
      <w:pPr>
        <w:pBdr>
          <w:bottom w:val="single" w:color="C9BFA8" w:sz="6" w:space="1"/>
        </w:pBdr>
        <w:spacing w:after="160" w:before="60"/>
      </w:pPr>
      <w:r>
        <w:t xml:space="preserve"/>
      </w:r>
    </w:p>
    <w:p>
      <w:pPr>
        <w:pStyle w:val="Heading1"/>
      </w:pPr>
      <w:r>
        <w:t xml:space="preserve">2. The applicability layer — bindings, states, exemptions</w:t>
      </w:r>
    </w:p>
    <w:p>
      <w:pPr>
        <w:spacing w:after="120" w:line="276"/>
      </w:pPr>
      <w:r>
        <w:t xml:space="preserve">Where correctness becomes personal, and where the wellbeing safeguards live. The engine applies the rule to this user.</w:t>
      </w:r>
    </w:p>
    <w:p>
      <w:pPr>
        <w:pStyle w:val="Heading3"/>
      </w:pPr>
      <w:r>
        <w:t xml:space="preserve">Age bindings</w:t>
      </w:r>
    </w:p>
    <w:p>
      <w:pPr>
        <w:spacing w:after="120" w:line="276"/>
      </w:pPr>
      <w:r>
        <w:t xml:space="preserve">Exact for each discipline (they differ), applied from the user’s age, with correct behavior at the edges (aging into or out of a binding mid-year).</w:t>
      </w:r>
    </w:p>
    <w:p>
      <w:pPr>
        <w:pStyle w:val="Heading3"/>
      </w:pPr>
      <w:r>
        <w:t xml:space="preserve">State-based exemptions</w:t>
      </w:r>
    </w:p>
    <w:p>
      <w:pPr>
        <w:spacing w:after="120" w:line="276"/>
      </w:pPr>
      <w:r>
        <w:t xml:space="preserve">Pregnancy, nursing, illness, advanced age, hard manual labor, travel, and the general principle that grave inconvenience excuses. Stated accurately and surfaced generously, never buried. Hiding the exemptions is how scrupulosity is manufactured; the wellbeing rules require the app to make legitimate easing easy and unembarrassing.</w:t>
      </w:r>
    </w:p>
    <w:p>
      <w:pPr>
        <w:pStyle w:val="Heading3"/>
      </w:pPr>
      <w:r>
        <w:t xml:space="preserve">The “who decides” boundary</w:t>
      </w:r>
    </w:p>
    <w:p>
      <w:pPr>
        <w:spacing w:after="120" w:line="276"/>
      </w:pPr>
      <w:r>
        <w:t xml:space="preserve">The app states what the law is. It must not pose as the authority who binds or dispenses in a particular case. Genuine doubt or hardship is a question for the user’s pastor or confessor, and the framing must say so. No surface may read as the app adjudicating an individual conscience.</w:t>
      </w:r>
    </w:p>
    <w:p>
      <w:pPr>
        <w:pBdr>
          <w:bottom w:val="single" w:color="C9BFA8" w:sz="6" w:space="1"/>
        </w:pBdr>
        <w:spacing w:after="160" w:before="60"/>
      </w:pPr>
      <w:r>
        <w:t xml:space="preserve"/>
      </w:r>
    </w:p>
    <w:p>
      <w:pPr>
        <w:pStyle w:val="Heading1"/>
      </w:pPr>
      <w:r>
        <w:t xml:space="preserve">3. Dispensations and transfers — the precision features</w:t>
      </w:r>
    </w:p>
    <w:p>
      <w:pPr>
        <w:spacing w:after="120" w:line="276"/>
      </w:pPr>
      <w:r>
        <w:t xml:space="preserve">What tells a knowledgeable Catholic the app was built by someone who knows the discipline.</w:t>
      </w:r>
    </w:p>
    <w:p>
      <w:pPr>
        <w:pStyle w:val="ListParagraph"/>
        <w:numPr>
          <w:ilvl w:val="0"/>
          <w:numId w:val="2"/>
        </w:numPr>
        <w:spacing w:after="70" w:line="270"/>
      </w:pPr>
      <w:r>
        <w:rPr>
          <w:b/>
          <w:bCs/>
        </w:rPr>
        <w:t xml:space="preserve">Solemnity lifts abstinence. </w:t>
      </w:r>
      <w:r>
        <w:t xml:space="preserve">When a solemnity (or, in the older law, a feast of sufficient rank) falls on a day of abstinence, the obligation is typically lifted. The engine needs this for both calendars, with the correct rank threshold for each. The single most likely feature to be checked by experts.</w:t>
      </w:r>
    </w:p>
    <w:p>
      <w:pPr>
        <w:pStyle w:val="ListParagraph"/>
        <w:numPr>
          <w:ilvl w:val="0"/>
          <w:numId w:val="2"/>
        </w:numPr>
        <w:spacing w:after="70" w:line="270"/>
      </w:pPr>
      <w:r>
        <w:rPr>
          <w:b/>
          <w:bCs/>
        </w:rPr>
        <w:t xml:space="preserve">Local / conference dispensations. </w:t>
      </w:r>
      <w:r>
        <w:t xml:space="preserve">Bishop-by-bishop and year-by-year (the St. Patrick’s Day Lenten-Friday case is the classic). v1 should handle this as a user-applied toggle (“my diocese dispensed today”), not by the app claiming to know every local dispensation, which it cannot. The mechanism must be honest about being user-applied, not authoritative.</w:t>
      </w:r>
    </w:p>
    <w:p>
      <w:pPr>
        <w:pStyle w:val="ListParagraph"/>
        <w:numPr>
          <w:ilvl w:val="0"/>
          <w:numId w:val="2"/>
        </w:numPr>
        <w:spacing w:after="70" w:line="270"/>
      </w:pPr>
      <w:r>
        <w:rPr>
          <w:b/>
          <w:bCs/>
        </w:rPr>
        <w:t xml:space="preserve">Transfers. </w:t>
      </w:r>
      <w:r>
        <w:t xml:space="preserve">When the calendar transfers a feast (imported from Introibo), the fast/feast behavior follows the transferred date, not the nominal one. Confirm the fasting layer respects the transfer.</w:t>
      </w:r>
    </w:p>
    <w:p>
      <w:pPr>
        <w:pBdr>
          <w:bottom w:val="single" w:color="C9BFA8" w:sz="6" w:space="1"/>
        </w:pBdr>
        <w:spacing w:after="160" w:before="60"/>
      </w:pPr>
      <w:r>
        <w:t xml:space="preserve"/>
      </w:r>
    </w:p>
    <w:p>
      <w:pPr>
        <w:pStyle w:val="Heading1"/>
      </w:pPr>
      <w:r>
        <w:t xml:space="preserve">4. Fast-while-training guidance — the novel content</w:t>
      </w:r>
    </w:p>
    <w:p>
      <w:pPr>
        <w:spacing w:after="120" w:line="276"/>
      </w:pPr>
      <w:r>
        <w:t xml:space="preserve">The one body of content with no authoritative source, which makes it the app’s most valuable and its highest-care material, because it layers health guidance on religious obligation.</w:t>
      </w:r>
    </w:p>
    <w:p>
      <w:pPr>
        <w:spacing w:after="120" w:line="276"/>
      </w:pPr>
      <w:r>
        <w:t xml:space="preserve">Write principles, not prescriptions:</w:t>
      </w:r>
    </w:p>
    <w:p>
      <w:pPr>
        <w:pStyle w:val="ListParagraph"/>
        <w:numPr>
          <w:ilvl w:val="0"/>
          <w:numId w:val="2"/>
        </w:numPr>
        <w:spacing w:after="70" w:line="270"/>
      </w:pPr>
      <w:r>
        <w:t xml:space="preserve">How to think about training intensity on fast days.</w:t>
      </w:r>
    </w:p>
    <w:p>
      <w:pPr>
        <w:pStyle w:val="ListParagraph"/>
        <w:numPr>
          <w:ilvl w:val="0"/>
          <w:numId w:val="2"/>
        </w:numPr>
        <w:spacing w:after="70" w:line="270"/>
      </w:pPr>
      <w:r>
        <w:t xml:space="preserve">The key distinction: a day of abstinence (no meat, normal quantity) leaves training largely unaffected; a day of fast (reduced quantity) is where hard training may be unwise.</w:t>
      </w:r>
    </w:p>
    <w:p>
      <w:pPr>
        <w:pStyle w:val="ListParagraph"/>
        <w:numPr>
          <w:ilvl w:val="0"/>
          <w:numId w:val="2"/>
        </w:numPr>
        <w:spacing w:after="70" w:line="270"/>
      </w:pPr>
      <w:r>
        <w:t xml:space="preserve">Hydration, and when to move a hard session off a fast day rather than push through.</w:t>
      </w:r>
    </w:p>
    <w:p>
      <w:pPr>
        <w:pStyle w:val="ListParagraph"/>
        <w:numPr>
          <w:ilvl w:val="0"/>
          <w:numId w:val="2"/>
        </w:numPr>
        <w:spacing w:after="70" w:line="270"/>
      </w:pPr>
      <w:r>
        <w:rPr>
          <w:b/>
          <w:bCs/>
        </w:rPr>
        <w:t xml:space="preserve">The repeated frame: </w:t>
      </w:r>
      <w:r>
        <w:t xml:space="preserve">the obligation is the Church’s and fixed; the training adjustment is prudential and personal.</w:t>
      </w:r>
    </w:p>
    <w:p>
      <w:pPr>
        <w:spacing w:after="120" w:line="276"/>
      </w:pPr>
      <w:r>
        <w:rPr>
          <w:b/>
          <w:bCs/>
        </w:rPr>
        <w:t xml:space="preserve">Two hard checks on this section. </w:t>
      </w:r>
      <w:r>
        <w:t xml:space="preserve">First, it gives no individualized medical advice: it speaks in general principles and directs anyone with a health condition, or who is pregnant, nursing, diabetic, or on medication affected by fasting, to their doctor. Second, it never frames training through a hard fast as a spiritual achievement, because that is exactly where the disordered-eating risk and the religious-cover risk compound.</w:t>
      </w:r>
    </w:p>
    <w:p>
      <w:pPr>
        <w:pBdr>
          <w:bottom w:val="single" w:color="C9BFA8" w:sz="6" w:space="1"/>
        </w:pBdr>
        <w:spacing w:after="160" w:before="60"/>
      </w:pPr>
      <w:r>
        <w:t xml:space="preserve"/>
      </w:r>
    </w:p>
    <w:p>
      <w:pPr>
        <w:pStyle w:val="Heading1"/>
      </w:pPr>
      <w:r>
        <w:t xml:space="preserve">5. The personal-layer vocabulary</w:t>
      </w:r>
    </w:p>
    <w:p>
      <w:pPr>
        <w:spacing w:after="120" w:line="276"/>
      </w:pPr>
      <w:r>
        <w:t xml:space="preserve">The calendar-independent commitments anyone can define (which also serve as the Orthodox bridge until those calendars ship). Two pieces of work.</w:t>
      </w:r>
    </w:p>
    <w:p>
      <w:pPr>
        <w:pStyle w:val="ListParagraph"/>
        <w:numPr>
          <w:ilvl w:val="0"/>
          <w:numId w:val="2"/>
        </w:numPr>
        <w:spacing w:after="70" w:line="270"/>
      </w:pPr>
      <w:r>
        <w:rPr>
          <w:b/>
          <w:bCs/>
        </w:rPr>
        <w:t xml:space="preserve">Shared vocabulary with recipes. </w:t>
      </w:r>
      <w:r>
        <w:t xml:space="preserve">The food categories a personal fast can name (meat, fish, dairy, eggs, alcohol, sweets, oil, plus a custom field) must be the same controlled vocabulary the recipes are tagged with, so the meal recommender’s hard filter actually matches. Design the personal-fast vocabulary and the recipe-tag vocabulary as one shared list, not two that drift apart.</w:t>
      </w:r>
    </w:p>
    <w:p>
      <w:pPr>
        <w:pStyle w:val="ListParagraph"/>
        <w:numPr>
          <w:ilvl w:val="0"/>
          <w:numId w:val="2"/>
        </w:numPr>
        <w:spacing w:after="70" w:line="270"/>
      </w:pPr>
      <w:r>
        <w:rPr>
          <w:b/>
          <w:bCs/>
        </w:rPr>
        <w:t xml:space="preserve">Wellbeing safeguards in the layer. </w:t>
      </w:r>
      <w:r>
        <w:t xml:space="preserve">A firm visual distinction between “the Church requires this” and “you have chosen this,” so a self-imposed commitment is never experienced as a binding precept; and a gentle accumulation check that notices when self-imposed restrictions stack past prudence and responds pastorally, never as a block.</w:t>
      </w:r>
    </w:p>
    <w:p>
      <w:pPr>
        <w:pBdr>
          <w:bottom w:val="single" w:color="C9BFA8" w:sz="6" w:space="1"/>
        </w:pBdr>
        <w:spacing w:after="160" w:before="60"/>
      </w:pPr>
      <w:r>
        <w:t xml:space="preserve"/>
      </w:r>
    </w:p>
    <w:p>
      <w:pPr>
        <w:pStyle w:val="Heading1"/>
      </w:pPr>
      <w:r>
        <w:t xml:space="preserve">6. Cross-checks against what is already built</w:t>
      </w:r>
    </w:p>
    <w:p>
      <w:pPr>
        <w:pStyle w:val="ListParagraph"/>
        <w:numPr>
          <w:ilvl w:val="0"/>
          <w:numId w:val="2"/>
        </w:numPr>
        <w:spacing w:after="70" w:line="270"/>
      </w:pPr>
      <w:r>
        <w:rPr>
          <w:b/>
          <w:bCs/>
        </w:rPr>
        <w:t xml:space="preserve">Calendar import seam. </w:t>
      </w:r>
      <w:r>
        <w:t xml:space="preserve">Confirm exactly what Introibo’s calendar provides (verified dates, ranks, colors, seasons) versus what the engine adds (the obligation mapping). The engine consumes day-facts and never re-derives the calendar, so Orthodox can slot in later as additive. No fasting rule may be entangled with calendar computation.</w:t>
      </w:r>
    </w:p>
    <w:p>
      <w:pPr>
        <w:pStyle w:val="ListParagraph"/>
        <w:numPr>
          <w:ilvl w:val="0"/>
          <w:numId w:val="2"/>
        </w:numPr>
        <w:spacing w:after="70" w:line="270"/>
      </w:pPr>
      <w:r>
        <w:rPr>
          <w:b/>
          <w:bCs/>
        </w:rPr>
        <w:t xml:space="preserve">Feast-day softening. </w:t>
      </w:r>
      <w:r>
        <w:t xml:space="preserve">The patron feast notes already promise that “the fasting and tracking emphasis softens today.” The engine must actually produce that on those feasts, or the formation content writes a check the engine does not cash. Confirm they match.</w:t>
      </w:r>
    </w:p>
    <w:p>
      <w:pPr>
        <w:pStyle w:val="ListParagraph"/>
        <w:numPr>
          <w:ilvl w:val="0"/>
          <w:numId w:val="2"/>
        </w:numPr>
        <w:spacing w:after="70" w:line="270"/>
      </w:pPr>
      <w:r>
        <w:rPr>
          <w:b/>
          <w:bCs/>
        </w:rPr>
        <w:t xml:space="preserve">Two-discipline onboarding. </w:t>
      </w:r>
      <w:r>
        <w:t xml:space="preserve">The tradition step offers OF and EF. Confirm the two corpora map cleanly onto that choice and that a user switching disciplines behaves correctly.</w:t>
      </w:r>
    </w:p>
    <w:p>
      <w:pPr>
        <w:pBdr>
          <w:bottom w:val="single" w:color="C9BFA8" w:sz="6" w:space="1"/>
        </w:pBdr>
        <w:spacing w:after="160" w:before="60"/>
      </w:pPr>
      <w:r>
        <w:t xml:space="preserve"/>
      </w:r>
    </w:p>
    <w:p>
      <w:pPr>
        <w:pStyle w:val="Heading1"/>
      </w:pPr>
      <w:r>
        <w:t xml:space="preserve">7. The scope decision to make explicitly</w:t>
      </w:r>
    </w:p>
    <w:p>
      <w:pPr>
        <w:spacing w:after="120" w:line="276"/>
      </w:pPr>
      <w:r>
        <w:t xml:space="preserve">Make this consciously rather than by default, because it sizes the current-discipline corpus and should not be discovered late: is v1 US-conference-only for the current discipline (and says so plainly in-app), or does it handle multiple bishops’ conferences? The 1962 discipline is largely universal and less affected; the current discipline’s Friday-penance norms are where conferences differ.</w:t>
      </w:r>
    </w:p>
    <w:p>
      <w:pPr>
        <w:pBdr>
          <w:bottom w:val="single" w:color="C9BFA8" w:sz="6" w:space="1"/>
        </w:pBdr>
        <w:spacing w:after="160" w:before="60"/>
      </w:pPr>
      <w:r>
        <w:t xml:space="preserve"/>
      </w:r>
    </w:p>
    <w:p>
      <w:pPr>
        <w:pStyle w:val="Heading1"/>
      </w:pPr>
      <w:r>
        <w:t xml:space="preserve">8. QA checklist — nothing ships until these clear</w:t>
      </w:r>
    </w:p>
    <w:p>
      <w:pPr>
        <w:spacing w:after="120" w:line="276"/>
      </w:pPr>
      <w:r>
        <w:t xml:space="preserve">Boxes to clear before any fasting rule goes live. Red leads are the highest-stakes items, where an error does real harm rather than looking sloppy. Several gates need a specific competence (a priest fluent in both disciplines; a medically literate reviewer) and those are on the critical path, not a final stamp.</w:t>
      </w:r>
    </w:p>
    <w:p>
      <w:pPr>
        <w:pStyle w:val="Heading3"/>
      </w:pPr>
      <w:r>
        <w:t xml:space="preserve">Sourcing</w:t>
      </w:r>
    </w:p>
    <w:p>
      <w:pPr>
        <w:spacing w:after="60" w:before="80" w:line="272"/>
        <w:ind w:left="360" w:hanging="360"/>
      </w:pPr>
      <w:r>
        <w:rPr>
          <w:color w:val="8B1A1A"/>
          <w:sz w:val="26"/>
          <w:szCs w:val="26"/>
        </w:rPr>
        <w:t xml:space="preserve">☐  </w:t>
      </w:r>
      <w:r>
        <w:rPr>
          <w:b/>
          <w:bCs/>
          <w:color w:val="8B1A1A"/>
        </w:rPr>
        <w:t xml:space="preserve">Every rule cited to a primary source.  </w:t>
      </w:r>
      <w:r>
        <w:t xml:space="preserve">Each per-rule record in both corpora carries a citable source (1983 Code + conference norms for OF; 1917 Code + pre-conciliar law for EF). No rule ships sourced only to memory or a secondary summary.</w:t>
      </w:r>
    </w:p>
    <w:p>
      <w:pPr>
        <w:spacing w:after="60" w:before="80" w:line="272"/>
        <w:ind w:left="360" w:hanging="360"/>
      </w:pPr>
      <w:r>
        <w:rPr>
          <w:color w:val="1A130C"/>
          <w:sz w:val="26"/>
          <w:szCs w:val="26"/>
        </w:rPr>
        <w:t xml:space="preserve">☐  </w:t>
      </w:r>
      <w:r>
        <w:rPr>
          <w:b/>
          <w:bCs/>
          <w:color w:val="1A130C"/>
        </w:rPr>
        <w:t xml:space="preserve">Unsourced rules flagged, not guessed.  </w:t>
      </w:r>
      <w:r>
        <w:t xml:space="preserve">Anything that could not be cleanly sourced is marked “flagged” in the record and left to the priest, not filled in by approximation.</w:t>
      </w:r>
    </w:p>
    <w:p>
      <w:pPr>
        <w:pStyle w:val="Heading3"/>
      </w:pPr>
      <w:r>
        <w:t xml:space="preserve">Accuracy of the two corpora</w:t>
      </w:r>
    </w:p>
    <w:p>
      <w:pPr>
        <w:spacing w:after="60" w:before="80" w:line="272"/>
        <w:ind w:left="360" w:hanging="360"/>
      </w:pPr>
      <w:r>
        <w:rPr>
          <w:color w:val="8B1A1A"/>
          <w:sz w:val="26"/>
          <w:szCs w:val="26"/>
        </w:rPr>
        <w:t xml:space="preserve">☐  </w:t>
      </w:r>
      <w:r>
        <w:rPr>
          <w:b/>
          <w:bCs/>
          <w:color w:val="8B1A1A"/>
        </w:rPr>
        <w:t xml:space="preserve">OF obligatory days and ages confirmed.  </w:t>
      </w:r>
      <w:r>
        <w:t xml:space="preserve">Ash Wednesday, Good Friday, Lenten Fridays, year-round Friday penance, and the two binding ages, all confirmed against the Code and conference norms.</w:t>
      </w:r>
    </w:p>
    <w:p>
      <w:pPr>
        <w:spacing w:after="60" w:before="80" w:line="272"/>
        <w:ind w:left="360" w:hanging="360"/>
      </w:pPr>
      <w:r>
        <w:rPr>
          <w:color w:val="8B1A1A"/>
          <w:sz w:val="26"/>
          <w:szCs w:val="26"/>
        </w:rPr>
        <w:t xml:space="preserve">☐  </w:t>
      </w:r>
      <w:r>
        <w:rPr>
          <w:b/>
          <w:bCs/>
          <w:color w:val="8B1A1A"/>
        </w:rPr>
        <w:t xml:space="preserve">EF days of fast and abstinence confirmed.  </w:t>
      </w:r>
      <w:r>
        <w:t xml:space="preserve">Lenten weekdays, all four Ember sets, retained vigils, days of fast-and-abstinence, full vs. partial abstinence, and the older binding ages, confirmed against the 1917 Code and pre-conciliar law.</w:t>
      </w:r>
    </w:p>
    <w:p>
      <w:pPr>
        <w:spacing w:after="60" w:before="80" w:line="272"/>
        <w:ind w:left="360" w:hanging="360"/>
      </w:pPr>
      <w:r>
        <w:rPr>
          <w:color w:val="1A130C"/>
          <w:sz w:val="26"/>
          <w:szCs w:val="26"/>
        </w:rPr>
        <w:t xml:space="preserve">☐  </w:t>
      </w:r>
      <w:r>
        <w:rPr>
          <w:b/>
          <w:bCs/>
          <w:color w:val="1A130C"/>
        </w:rPr>
        <w:t xml:space="preserve">Full vs. partial abstinence handled.  </w:t>
      </w:r>
      <w:r>
        <w:t xml:space="preserve">The EF distinction is modeled, not flattened. A serious user will check this.</w:t>
      </w:r>
    </w:p>
    <w:p>
      <w:pPr>
        <w:pStyle w:val="Heading3"/>
      </w:pPr>
      <w:r>
        <w:t xml:space="preserve">Applicability and exemptions</w:t>
      </w:r>
    </w:p>
    <w:p>
      <w:pPr>
        <w:spacing w:after="60" w:before="80" w:line="272"/>
        <w:ind w:left="360" w:hanging="360"/>
      </w:pPr>
      <w:r>
        <w:rPr>
          <w:color w:val="1A130C"/>
          <w:sz w:val="26"/>
          <w:szCs w:val="26"/>
        </w:rPr>
        <w:t xml:space="preserve">☐  </w:t>
      </w:r>
      <w:r>
        <w:rPr>
          <w:b/>
          <w:bCs/>
          <w:color w:val="1A130C"/>
        </w:rPr>
        <w:t xml:space="preserve">Age bindings exact and edge-correct.  </w:t>
      </w:r>
      <w:r>
        <w:t xml:space="preserve">Right boundaries for each discipline, correct behavior when a user ages into or out of a binding.</w:t>
      </w:r>
    </w:p>
    <w:p>
      <w:pPr>
        <w:spacing w:after="60" w:before="80" w:line="272"/>
        <w:ind w:left="360" w:hanging="360"/>
      </w:pPr>
      <w:r>
        <w:rPr>
          <w:color w:val="8B1A1A"/>
          <w:sz w:val="26"/>
          <w:szCs w:val="26"/>
        </w:rPr>
        <w:t xml:space="preserve">☐  </w:t>
      </w:r>
      <w:r>
        <w:rPr>
          <w:b/>
          <w:bCs/>
          <w:color w:val="8B1A1A"/>
        </w:rPr>
        <w:t xml:space="preserve">Exemptions complete and surfaced generously.  </w:t>
      </w:r>
      <w:r>
        <w:t xml:space="preserve">Pregnancy, nursing, illness, age, labor, travel, grave inconvenience: present, accurate, and easy to claim without guilt. Not buried.</w:t>
      </w:r>
    </w:p>
    <w:p>
      <w:pPr>
        <w:spacing w:after="60" w:before="80" w:line="272"/>
        <w:ind w:left="360" w:hanging="360"/>
      </w:pPr>
      <w:r>
        <w:rPr>
          <w:color w:val="1A130C"/>
          <w:sz w:val="26"/>
          <w:szCs w:val="26"/>
        </w:rPr>
        <w:t xml:space="preserve">☐  </w:t>
      </w:r>
      <w:r>
        <w:rPr>
          <w:b/>
          <w:bCs/>
          <w:color w:val="1A130C"/>
        </w:rPr>
        <w:t xml:space="preserve">“Who decides” boundary holds.  </w:t>
      </w:r>
      <w:r>
        <w:t xml:space="preserve">No surface reads as the app binding or dispensing an individual conscience; doubt and hardship are directed to pastor or confessor.</w:t>
      </w:r>
    </w:p>
    <w:p>
      <w:pPr>
        <w:pStyle w:val="Heading3"/>
      </w:pPr>
      <w:r>
        <w:t xml:space="preserve">Dispensations and transfers</w:t>
      </w:r>
    </w:p>
    <w:p>
      <w:pPr>
        <w:spacing w:after="60" w:before="80" w:line="272"/>
        <w:ind w:left="360" w:hanging="360"/>
      </w:pPr>
      <w:r>
        <w:rPr>
          <w:color w:val="8B1A1A"/>
          <w:sz w:val="26"/>
          <w:szCs w:val="26"/>
        </w:rPr>
        <w:t xml:space="preserve">☐  </w:t>
      </w:r>
      <w:r>
        <w:rPr>
          <w:b/>
          <w:bCs/>
          <w:color w:val="8B1A1A"/>
        </w:rPr>
        <w:t xml:space="preserve">Solemnity-lifts-abstinence correct for both calendars.  </w:t>
      </w:r>
      <w:r>
        <w:t xml:space="preserve">With the right rank threshold for each. The most expert-checked feature in the engine.</w:t>
      </w:r>
    </w:p>
    <w:p>
      <w:pPr>
        <w:spacing w:after="60" w:before="80" w:line="272"/>
        <w:ind w:left="360" w:hanging="360"/>
      </w:pPr>
      <w:r>
        <w:rPr>
          <w:color w:val="1A130C"/>
          <w:sz w:val="26"/>
          <w:szCs w:val="26"/>
        </w:rPr>
        <w:t xml:space="preserve">☐  </w:t>
      </w:r>
      <w:r>
        <w:rPr>
          <w:b/>
          <w:bCs/>
          <w:color w:val="1A130C"/>
        </w:rPr>
        <w:t xml:space="preserve">Local-dispensation mechanism is honest.  </w:t>
      </w:r>
      <w:r>
        <w:t xml:space="preserve">User-applied toggle, framed as the user’s knowledge of their diocese, never as the app claiming authority.</w:t>
      </w:r>
    </w:p>
    <w:p>
      <w:pPr>
        <w:spacing w:after="60" w:before="80" w:line="272"/>
        <w:ind w:left="360" w:hanging="360"/>
      </w:pPr>
      <w:r>
        <w:rPr>
          <w:color w:val="1A130C"/>
          <w:sz w:val="26"/>
          <w:szCs w:val="26"/>
        </w:rPr>
        <w:t xml:space="preserve">☐  </w:t>
      </w:r>
      <w:r>
        <w:rPr>
          <w:b/>
          <w:bCs/>
          <w:color w:val="1A130C"/>
        </w:rPr>
        <w:t xml:space="preserve">Transfers respected by the fasting layer.  </w:t>
      </w:r>
      <w:r>
        <w:t xml:space="preserve">Fast/feast behavior follows the transferred date, matching the imported calendar.</w:t>
      </w:r>
    </w:p>
    <w:p>
      <w:pPr>
        <w:pStyle w:val="Heading3"/>
      </w:pPr>
      <w:r>
        <w:t xml:space="preserve">Fast-while-training</w:t>
      </w:r>
    </w:p>
    <w:p>
      <w:pPr>
        <w:spacing w:after="60" w:before="80" w:line="272"/>
        <w:ind w:left="360" w:hanging="360"/>
      </w:pPr>
      <w:r>
        <w:rPr>
          <w:color w:val="8B1A1A"/>
          <w:sz w:val="26"/>
          <w:szCs w:val="26"/>
        </w:rPr>
        <w:t xml:space="preserve">☐  </w:t>
      </w:r>
      <w:r>
        <w:rPr>
          <w:b/>
          <w:bCs/>
          <w:color w:val="8B1A1A"/>
        </w:rPr>
        <w:t xml:space="preserve">No individualized medical advice.  </w:t>
      </w:r>
      <w:r>
        <w:t xml:space="preserve">General principles only; explicit direction to a doctor for any health condition, pregnancy, nursing, diabetes, or fasting-affected medication.</w:t>
      </w:r>
    </w:p>
    <w:p>
      <w:pPr>
        <w:spacing w:after="60" w:before="80" w:line="272"/>
        <w:ind w:left="360" w:hanging="360"/>
      </w:pPr>
      <w:r>
        <w:rPr>
          <w:color w:val="8B1A1A"/>
          <w:sz w:val="26"/>
          <w:szCs w:val="26"/>
        </w:rPr>
        <w:t xml:space="preserve">☐  </w:t>
      </w:r>
      <w:r>
        <w:rPr>
          <w:b/>
          <w:bCs/>
          <w:color w:val="8B1A1A"/>
        </w:rPr>
        <w:t xml:space="preserve">No severity-as-achievement framing.  </w:t>
      </w:r>
      <w:r>
        <w:t xml:space="preserve">Training through a hard fast is never presented as a spiritual feat. Checked against the disordered-eating and scrupulosity rules.</w:t>
      </w:r>
    </w:p>
    <w:p>
      <w:pPr>
        <w:spacing w:after="60" w:before="80" w:line="272"/>
        <w:ind w:left="360" w:hanging="360"/>
      </w:pPr>
      <w:r>
        <w:rPr>
          <w:color w:val="8B1A1A"/>
          <w:sz w:val="26"/>
          <w:szCs w:val="26"/>
        </w:rPr>
        <w:t xml:space="preserve">☐  </w:t>
      </w:r>
      <w:r>
        <w:rPr>
          <w:b/>
          <w:bCs/>
          <w:color w:val="8B1A1A"/>
        </w:rPr>
        <w:t xml:space="preserve">Medically literate review done.  </w:t>
      </w:r>
      <w:r>
        <w:t xml:space="preserve">A Catholic doctor, ideally, has read the training-while-fasting guidance against both the medical-disclaimer line and the wellbeing rules.</w:t>
      </w:r>
    </w:p>
    <w:p>
      <w:pPr>
        <w:pStyle w:val="Heading3"/>
      </w:pPr>
      <w:r>
        <w:t xml:space="preserve">Personal layer</w:t>
      </w:r>
    </w:p>
    <w:p>
      <w:pPr>
        <w:spacing w:after="60" w:before="80" w:line="272"/>
        <w:ind w:left="360" w:hanging="360"/>
      </w:pPr>
      <w:r>
        <w:rPr>
          <w:color w:val="1A130C"/>
          <w:sz w:val="26"/>
          <w:szCs w:val="26"/>
        </w:rPr>
        <w:t xml:space="preserve">☐  </w:t>
      </w:r>
      <w:r>
        <w:rPr>
          <w:b/>
          <w:bCs/>
          <w:color w:val="1A130C"/>
        </w:rPr>
        <w:t xml:space="preserve">Shared vocabulary with recipe tags.  </w:t>
      </w:r>
      <w:r>
        <w:t xml:space="preserve">The personal-fast food categories and the recipe tags are one list, so the recommender’s hard filter matches. Confirmed against the recipe tagging schema.</w:t>
      </w:r>
    </w:p>
    <w:p>
      <w:pPr>
        <w:spacing w:after="60" w:before="80" w:line="272"/>
        <w:ind w:left="360" w:hanging="360"/>
      </w:pPr>
      <w:r>
        <w:rPr>
          <w:color w:val="1A130C"/>
          <w:sz w:val="26"/>
          <w:szCs w:val="26"/>
        </w:rPr>
        <w:t xml:space="preserve">☐  </w:t>
      </w:r>
      <w:r>
        <w:rPr>
          <w:b/>
          <w:bCs/>
          <w:color w:val="1A130C"/>
        </w:rPr>
        <w:t xml:space="preserve">Obligation vs. free-choice distinction firm.  </w:t>
      </w:r>
      <w:r>
        <w:t xml:space="preserve">A self-imposed fast is visually and conceptually never a binding precept.</w:t>
      </w:r>
    </w:p>
    <w:p>
      <w:pPr>
        <w:spacing w:after="60" w:before="80" w:line="272"/>
        <w:ind w:left="360" w:hanging="360"/>
      </w:pPr>
      <w:r>
        <w:rPr>
          <w:color w:val="1A130C"/>
          <w:sz w:val="26"/>
          <w:szCs w:val="26"/>
        </w:rPr>
        <w:t xml:space="preserve">☐  </w:t>
      </w:r>
      <w:r>
        <w:rPr>
          <w:b/>
          <w:bCs/>
          <w:color w:val="1A130C"/>
        </w:rPr>
        <w:t xml:space="preserve">Accumulation check present.  </w:t>
      </w:r>
      <w:r>
        <w:t xml:space="preserve">The gentle notice when self-imposed restrictions stack past prudence is implemented, pastoral, and never a hard block.</w:t>
      </w:r>
    </w:p>
    <w:p>
      <w:pPr>
        <w:pStyle w:val="Heading3"/>
      </w:pPr>
      <w:r>
        <w:t xml:space="preserve">System consistency</w:t>
      </w:r>
    </w:p>
    <w:p>
      <w:pPr>
        <w:spacing w:after="60" w:before="80" w:line="272"/>
        <w:ind w:left="360" w:hanging="360"/>
      </w:pPr>
      <w:r>
        <w:rPr>
          <w:color w:val="1A130C"/>
          <w:sz w:val="26"/>
          <w:szCs w:val="26"/>
        </w:rPr>
        <w:t xml:space="preserve">☐  </w:t>
      </w:r>
      <w:r>
        <w:rPr>
          <w:b/>
          <w:bCs/>
          <w:color w:val="1A130C"/>
        </w:rPr>
        <w:t xml:space="preserve">Calendar seam clean.  </w:t>
      </w:r>
      <w:r>
        <w:t xml:space="preserve">Engine consumes day-facts, never re-derives the calendar; no rule entangled with calendar computation; Orthodox can slot in additively.</w:t>
      </w:r>
    </w:p>
    <w:p>
      <w:pPr>
        <w:spacing w:after="60" w:before="80" w:line="272"/>
        <w:ind w:left="360" w:hanging="360"/>
      </w:pPr>
      <w:r>
        <w:rPr>
          <w:color w:val="1A130C"/>
          <w:sz w:val="26"/>
          <w:szCs w:val="26"/>
        </w:rPr>
        <w:t xml:space="preserve">☐  </w:t>
      </w:r>
      <w:r>
        <w:rPr>
          <w:b/>
          <w:bCs/>
          <w:color w:val="1A130C"/>
        </w:rPr>
        <w:t xml:space="preserve">Feast-softening matches the patron content.  </w:t>
      </w:r>
      <w:r>
        <w:t xml:space="preserve">The engine softens fasting/tracking on the feasts the patron notes promise it will.</w:t>
      </w:r>
    </w:p>
    <w:p>
      <w:pPr>
        <w:spacing w:after="60" w:before="80" w:line="272"/>
        <w:ind w:left="360" w:hanging="360"/>
      </w:pPr>
      <w:r>
        <w:rPr>
          <w:color w:val="1A130C"/>
          <w:sz w:val="26"/>
          <w:szCs w:val="26"/>
        </w:rPr>
        <w:t xml:space="preserve">☐  </w:t>
      </w:r>
      <w:r>
        <w:rPr>
          <w:b/>
          <w:bCs/>
          <w:color w:val="1A130C"/>
        </w:rPr>
        <w:t xml:space="preserve">Two-discipline switch correct.  </w:t>
      </w:r>
      <w:r>
        <w:t xml:space="preserve">OF and EF corpora map to the onboarding choice; switching disciplines behaves correctly.</w:t>
      </w:r>
    </w:p>
    <w:p>
      <w:pPr>
        <w:pStyle w:val="Heading3"/>
      </w:pPr>
      <w:r>
        <w:t xml:space="preserve">Sign-offs on the critical path</w:t>
      </w:r>
    </w:p>
    <w:p>
      <w:pPr>
        <w:spacing w:after="60" w:before="80" w:line="272"/>
        <w:ind w:left="360" w:hanging="360"/>
      </w:pPr>
      <w:r>
        <w:rPr>
          <w:color w:val="8B1A1A"/>
          <w:sz w:val="26"/>
          <w:szCs w:val="26"/>
        </w:rPr>
        <w:t xml:space="preserve">☐  </w:t>
      </w:r>
      <w:r>
        <w:rPr>
          <w:b/>
          <w:bCs/>
          <w:color w:val="8B1A1A"/>
        </w:rPr>
        <w:t xml:space="preserve">Priest review, dual-competence.  </w:t>
      </w:r>
      <w:r>
        <w:t xml:space="preserve">A priest fluent in BOTH the current and the 1962 discipline confirms canonical accuracy across both corpora and all fasting language. A priest formed only in the current discipline may not know the older one cold; confirm the reviewer knows both.</w:t>
      </w:r>
    </w:p>
    <w:p>
      <w:pPr>
        <w:spacing w:after="60" w:before="80" w:line="272"/>
        <w:ind w:left="360" w:hanging="360"/>
      </w:pPr>
      <w:r>
        <w:rPr>
          <w:color w:val="1A130C"/>
          <w:sz w:val="26"/>
          <w:szCs w:val="26"/>
        </w:rPr>
        <w:t xml:space="preserve">☐  </w:t>
      </w:r>
      <w:r>
        <w:rPr>
          <w:b/>
          <w:bCs/>
          <w:color w:val="1A130C"/>
        </w:rPr>
        <w:t xml:space="preserve">Wellbeing sign-off.  </w:t>
      </w:r>
      <w:r>
        <w:t xml:space="preserve">Exemptions generous, obligation/free-choice line clean, no severity-as-achievement, accumulation check present, scrupulosity guarded throughout.</w:t>
      </w:r>
    </w:p>
    <w:p>
      <w:pPr>
        <w:spacing w:after="60" w:before="80" w:line="272"/>
        <w:ind w:left="360" w:hanging="360"/>
      </w:pPr>
      <w:r>
        <w:rPr>
          <w:color w:val="1A130C"/>
          <w:sz w:val="26"/>
          <w:szCs w:val="26"/>
        </w:rPr>
        <w:t xml:space="preserve">☐  </w:t>
      </w:r>
      <w:r>
        <w:rPr>
          <w:b/>
          <w:bCs/>
          <w:color w:val="1A130C"/>
        </w:rPr>
        <w:t xml:space="preserve">Scope decision recorded.  </w:t>
      </w:r>
      <w:r>
        <w:t xml:space="preserve">US-only vs. multi-conference for the current discipline is decided, stated in-app where relevant, and the corpus sized to match.</w:t>
      </w:r>
    </w:p>
    <w:p>
      <w:pPr>
        <w:spacing w:after="80"/>
      </w:pPr>
      <w:r>
        <w:t xml:space="preserve"/>
      </w:r>
    </w:p>
    <w:p>
      <w:pPr>
        <w:pBdr>
          <w:left w:val="single" w:color="B8960C" w:sz="18" w:space="14"/>
        </w:pBdr>
        <w:spacing w:after="160" w:before="120" w:line="276"/>
        <w:ind w:left="360"/>
      </w:pPr>
      <w:r>
        <w:rPr>
          <w:i/>
          <w:iCs/>
          <w:color w:val="1A130C"/>
        </w:rPr>
        <w:t xml:space="preserve">If you remember one thing: people will keep the Church’s law by what this engine says. Source it to the primary texts, have it confirmed by a priest who knows both disciplines, and surface the exemptions as generously as the obligations. Everything else serves those three.</w:t>
      </w:r>
    </w:p>
    <w:p>
      <w:pPr>
        <w:pBdr>
          <w:bottom w:val="single" w:color="C9BFA8" w:sz="6" w:space="1"/>
        </w:pBdr>
        <w:spacing w:after="160" w:before="60"/>
      </w:pPr>
      <w:r>
        <w:t xml:space="preserve"/>
      </w:r>
    </w:p>
    <w:p>
      <w:pPr>
        <w:pBdr>
          <w:top w:val="single" w:color="C9BFA8" w:sz="6" w:space="6"/>
        </w:pBdr>
        <w:spacing w:before="100"/>
      </w:pPr>
      <w:r>
        <w:rPr>
          <w:i/>
          <w:iCs/>
          <w:color w:val="5F5E5A"/>
          <w:sz w:val="18"/>
          <w:szCs w:val="18"/>
        </w:rPr>
        <w:t xml:space="preserve">Kanon · a Lampstand product · fasting engine authoring &amp; verification brief, v1 (Roman OF + EF; Orthodox to follow)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5E5A"/>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BFA8" w:sz="4" w:space="4"/>
      </w:pBdr>
      <w:spacing w:after="40"/>
    </w:pPr>
    <w:r>
      <w:rPr>
        <w:color w:val="5F5E5A"/>
        <w:sz w:val="16"/>
        <w:szCs w:val="16"/>
      </w:rPr>
      <w:t xml:space="preserve">KANON — Fasting Engine Authoring &amp; Verification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EB Garamond" w:cs="EB Garamond" w:eastAsia="EB Garamond" w:hAnsi="EB Garamond"/>
        <w:color w:val="201A1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Playfair Display" w:cs="Playfair Display" w:eastAsia="Playfair Display" w:hAnsi="Playfair Display"/>
      <w:b/>
      <w:bCs/>
      <w:color w:val="1A130C"/>
      <w:sz w:val="30"/>
      <w:szCs w:val="30"/>
    </w:rPr>
  </w:style>
  <w:style w:type="paragraph" w:styleId="Heading2">
    <w:name w:val="Heading 2"/>
    <w:basedOn w:val="Normal"/>
    <w:next w:val="Normal"/>
    <w:qFormat/>
    <w:pPr>
      <w:spacing w:after="110" w:before="220"/>
      <w:outlineLvl w:val="1"/>
    </w:pPr>
    <w:rPr>
      <w:rFonts w:ascii="Playfair Display" w:cs="Playfair Display" w:eastAsia="Playfair Display" w:hAnsi="Playfair Display"/>
      <w:b/>
      <w:bCs/>
      <w:color w:val="8B1A1A"/>
      <w:sz w:val="24"/>
      <w:szCs w:val="24"/>
    </w:rPr>
  </w:style>
  <w:style w:type="paragraph" w:styleId="Heading3">
    <w:name w:val="Heading 3"/>
    <w:basedOn w:val="Normal"/>
    <w:next w:val="Normal"/>
    <w:qFormat/>
    <w:pPr>
      <w:spacing w:after="70" w:before="160"/>
      <w:outlineLvl w:val="2"/>
    </w:pPr>
    <w:rPr>
      <w:rFonts w:ascii="EB Garamond" w:cs="EB Garamond" w:eastAsia="EB Garamond" w:hAnsi="EB Garamond"/>
      <w:b/>
      <w:bCs/>
      <w:color w:val="1A130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Kanon Fasting Engine Authoring &amp; Verification Brief</dc:title>
  <dc:creator>Lampstand</dc:creator>
  <cp:lastModifiedBy>Un-named</cp:lastModifiedBy>
  <cp:revision>1</cp:revision>
  <dcterms:created xsi:type="dcterms:W3CDTF">2026-05-29T02:26:26.389Z</dcterms:created>
  <dcterms:modified xsi:type="dcterms:W3CDTF">2026-05-29T02:26:26.408Z</dcterms:modified>
</cp:coreProperties>
</file>

<file path=docProps/custom.xml><?xml version="1.0" encoding="utf-8"?>
<Properties xmlns="http://schemas.openxmlformats.org/officeDocument/2006/custom-properties" xmlns:vt="http://schemas.openxmlformats.org/officeDocument/2006/docPropsVTypes"/>
</file>