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A130C"/>
          <w:sz w:val="56"/>
          <w:szCs w:val="56"/>
        </w:rPr>
        <w:t xml:space="preserve">KANON</w:t>
      </w:r>
    </w:p>
    <w:p>
      <w:pPr>
        <w:pBdr>
          <w:bottom w:val="single" w:color="B8960C" w:sz="12" w:space="4"/>
        </w:pBdr>
        <w:spacing w:after="40"/>
      </w:pPr>
      <w:r>
        <w:rPr>
          <w:color w:val="8B1A1A"/>
          <w:sz w:val="28"/>
          <w:szCs w:val="28"/>
        </w:rPr>
        <w:t xml:space="preserve">Patron Content — Pre-Ship Verification Checklist</w:t>
      </w:r>
    </w:p>
    <w:p>
      <w:pPr>
        <w:spacing w:after="60" w:before="120"/>
      </w:pPr>
      <w:r>
        <w:rPr>
          <w:i/>
          <w:iCs/>
          <w:color w:val="5F5E5A"/>
          <w:sz w:val="22"/>
          <w:szCs w:val="22"/>
        </w:rPr>
        <w:t xml:space="preserve">Gate list for the v1 patron content catalog. Nothing ships until these are cleared.</w:t>
      </w:r>
    </w:p>
    <w:p>
      <w:pPr>
        <w:spacing w:after="60" w:line="276"/>
      </w:pPr>
      <w:r>
        <w:t xml:space="preserve">How to use this. Each item is a box to clear. Items marked in red are the highest-stakes ones, where getting it wrong does real harm rather than looking sloppy. The “Why” line says what is at risk so the person checking knows what they are protecting. Work top to bottom; some items depend on earlier decisions (the single-edition choices in particular gate several of the wording confirmations).</w:t>
      </w:r>
    </w:p>
    <w:p>
      <w:pPr>
        <w:pBdr>
          <w:left w:val="single" w:color="B8960C" w:sz="18" w:space="14"/>
        </w:pBdr>
        <w:spacing w:after="160" w:before="120" w:line="276"/>
        <w:ind w:left="360"/>
      </w:pPr>
      <w:r>
        <w:rPr>
          <w:i/>
          <w:iCs/>
          <w:color w:val="1A130C"/>
        </w:rPr>
        <w:t xml:space="preserve">The catalog is built to pass all of this. “Built to pass” is not “confirmed to pass.” This list is the confirmation.</w:t>
      </w:r>
    </w:p>
    <w:p>
      <w:pPr>
        <w:pBdr>
          <w:bottom w:val="single" w:color="C9BFA8" w:sz="6" w:space="1"/>
        </w:pBdr>
        <w:spacing w:after="160" w:before="60"/>
      </w:pPr>
      <w:r>
        <w:t xml:space="preserve"/>
      </w:r>
    </w:p>
    <w:p>
      <w:pPr>
        <w:pStyle w:val="Heading1"/>
      </w:pPr>
      <w:r>
        <w:t xml:space="preserve">1. Exact wording to confirm or drop</w:t>
      </w:r>
    </w:p>
    <w:p>
      <w:pPr>
        <w:spacing w:after="120" w:line="276"/>
      </w:pPr>
      <w:r>
        <w:t xml:space="preserve">Specific lines the draft itself flags as not yet locked. Each is checked against the chosen source edition. If a line will not confirm cleanly, it is rewritten or dropped, never shipped on approximation.</w:t>
      </w:r>
    </w:p>
    <w:p>
      <w:pPr>
        <w:spacing w:after="40" w:before="100" w:line="276"/>
        <w:ind w:left="360" w:hanging="360"/>
      </w:pPr>
      <w:r>
        <w:rPr>
          <w:color w:val="1A130C"/>
          <w:sz w:val="26"/>
          <w:szCs w:val="26"/>
        </w:rPr>
        <w:t xml:space="preserve">☐  </w:t>
      </w:r>
      <w:r>
        <w:rPr>
          <w:b/>
          <w:bCs/>
          <w:color w:val="1A130C"/>
        </w:rPr>
        <w:t xml:space="preserve">Benedict, quote 12.  </w:t>
      </w:r>
      <w:r>
        <w:t xml:space="preserve">“Let all things be done with moderation, for the sake of the faint-hearted.” Confirm against the chosen translation of the Rule (sense of ch. 48) or cut it.</w:t>
      </w:r>
    </w:p>
    <w:p>
      <w:pPr>
        <w:spacing w:after="40" w:line="264"/>
        <w:ind w:left="360"/>
      </w:pPr>
      <w:r>
        <w:rPr>
          <w:b/>
          <w:bCs/>
          <w:color w:val="5F5E5A"/>
          <w:sz w:val="18"/>
          <w:szCs w:val="18"/>
        </w:rPr>
        <w:t xml:space="preserve">Why  </w:t>
      </w:r>
      <w:r>
        <w:rPr>
          <w:color w:val="5F5E5A"/>
          <w:sz w:val="18"/>
          <w:szCs w:val="18"/>
        </w:rPr>
        <w:t xml:space="preserve">The draft admits this paraphrases rather than quotes a fixed clause. The other eleven Benedict quotes are solid, so dropping it costs nothing and approximating risks a misquote.</w:t>
      </w:r>
    </w:p>
    <w:p>
      <w:pPr>
        <w:spacing w:after="40" w:before="100" w:line="276"/>
        <w:ind w:left="360" w:hanging="360"/>
      </w:pPr>
      <w:r>
        <w:rPr>
          <w:color w:val="1A130C"/>
          <w:sz w:val="26"/>
          <w:szCs w:val="26"/>
        </w:rPr>
        <w:t xml:space="preserve">☐  </w:t>
      </w:r>
      <w:r>
        <w:rPr>
          <w:b/>
          <w:bCs/>
          <w:color w:val="1A130C"/>
        </w:rPr>
        <w:t xml:space="preserve">Thérèse, quotes 10 and 11.  </w:t>
      </w:r>
      <w:r>
        <w:t xml:space="preserve">“Without love, the most brilliant deeds count for nothing” and “I have never given the good God anything but love.” Verify the exact clause against the chosen English edition.</w:t>
      </w:r>
    </w:p>
    <w:p>
      <w:pPr>
        <w:spacing w:after="40" w:line="264"/>
        <w:ind w:left="360"/>
      </w:pPr>
      <w:r>
        <w:rPr>
          <w:b/>
          <w:bCs/>
          <w:color w:val="5F5E5A"/>
          <w:sz w:val="18"/>
          <w:szCs w:val="18"/>
        </w:rPr>
        <w:t xml:space="preserve">Why  </w:t>
      </w:r>
      <w:r>
        <w:rPr>
          <w:color w:val="5F5E5A"/>
          <w:sz w:val="18"/>
          <w:szCs w:val="18"/>
        </w:rPr>
        <w:t xml:space="preserve">Both are faithful to her sense but her wording shifts between translations; an attributed quote has to match a real edition word-for-word.</w:t>
      </w:r>
    </w:p>
    <w:p>
      <w:pPr>
        <w:spacing w:after="40" w:before="100" w:line="276"/>
        <w:ind w:left="360" w:hanging="360"/>
      </w:pPr>
      <w:r>
        <w:rPr>
          <w:color w:val="8B1A1A"/>
          <w:sz w:val="26"/>
          <w:szCs w:val="26"/>
        </w:rPr>
        <w:t xml:space="preserve">☐  </w:t>
      </w:r>
      <w:r>
        <w:rPr>
          <w:b/>
          <w:bCs/>
          <w:color w:val="8B1A1A"/>
        </w:rPr>
        <w:t xml:space="preserve">Anthony, quotes 2, 5, and 8.  </w:t>
      </w:r>
      <w:r>
        <w:t xml:space="preserve">The bow line, the “weaker now” saying, and the “only humility passes through the snares” line. Confirm each reads faithfully in the chosen translation or expand it.</w:t>
      </w:r>
    </w:p>
    <w:p>
      <w:pPr>
        <w:spacing w:after="40" w:line="264"/>
        <w:ind w:left="360"/>
      </w:pPr>
      <w:r>
        <w:rPr>
          <w:b/>
          <w:bCs/>
          <w:color w:val="5F5E5A"/>
          <w:sz w:val="18"/>
          <w:szCs w:val="18"/>
        </w:rPr>
        <w:t xml:space="preserve">Why  </w:t>
      </w:r>
      <w:r>
        <w:rPr>
          <w:color w:val="5F5E5A"/>
          <w:sz w:val="18"/>
          <w:szCs w:val="18"/>
        </w:rPr>
        <w:t xml:space="preserve">All three are condensed from longer sayings. Anthony is the patron where a subtly-off line does the most damage, so these get the closest reading of any quotes in the catalog.</w:t>
      </w:r>
    </w:p>
    <w:p>
      <w:pPr>
        <w:spacing w:after="40" w:before="100" w:line="276"/>
        <w:ind w:left="360" w:hanging="360"/>
      </w:pPr>
      <w:r>
        <w:rPr>
          <w:color w:val="1A130C"/>
          <w:sz w:val="26"/>
          <w:szCs w:val="26"/>
        </w:rPr>
        <w:t xml:space="preserve">☐  </w:t>
      </w:r>
      <w:r>
        <w:rPr>
          <w:b/>
          <w:bCs/>
          <w:color w:val="1A130C"/>
        </w:rPr>
        <w:t xml:space="preserve">Litany of St. Joseph invocations.  </w:t>
      </w:r>
      <w:r>
        <w:t xml:space="preserve">Model of all who labor, Joseph most valiant, Lover of poverty, Pillar of families, Mirror of patience, Terror of demons. Confirm against the official approved English text.</w:t>
      </w:r>
    </w:p>
    <w:p>
      <w:pPr>
        <w:spacing w:after="40" w:line="264"/>
        <w:ind w:left="360"/>
      </w:pPr>
      <w:r>
        <w:rPr>
          <w:b/>
          <w:bCs/>
          <w:color w:val="5F5E5A"/>
          <w:sz w:val="18"/>
          <w:szCs w:val="18"/>
        </w:rPr>
        <w:t xml:space="preserve">Why  </w:t>
      </w:r>
      <w:r>
        <w:rPr>
          <w:color w:val="5F5E5A"/>
          <w:sz w:val="18"/>
          <w:szCs w:val="18"/>
        </w:rPr>
        <w:t xml:space="preserve">Litany translations vary (“most valiant” vs. “most strong,” “Model of workmen” vs. “Model of all who labor”). The app should match what people actually pray.</w:t>
      </w:r>
    </w:p>
    <w:p>
      <w:pPr>
        <w:pBdr>
          <w:bottom w:val="single" w:color="C9BFA8" w:sz="6" w:space="1"/>
        </w:pBdr>
        <w:spacing w:after="160" w:before="60"/>
      </w:pPr>
      <w:r>
        <w:t xml:space="preserve"/>
      </w:r>
    </w:p>
    <w:p>
      <w:pPr>
        <w:pStyle w:val="Heading1"/>
      </w:pPr>
      <w:r>
        <w:t xml:space="preserve">2. Single-edition standardization</w:t>
      </w:r>
    </w:p>
    <w:p>
      <w:pPr>
        <w:spacing w:after="120" w:line="276"/>
      </w:pPr>
      <w:r>
        <w:t xml:space="preserve">Three source texts run through the whole catalog and currently float between editions. Decide one of each once, then conform every instance to it. Several wording confirmations in section 1 depend on these choices, so make them first.</w:t>
      </w:r>
    </w:p>
    <w:p>
      <w:pPr>
        <w:spacing w:after="40" w:before="100" w:line="276"/>
        <w:ind w:left="360" w:hanging="360"/>
      </w:pPr>
      <w:r>
        <w:rPr>
          <w:color w:val="1A130C"/>
          <w:sz w:val="26"/>
          <w:szCs w:val="26"/>
        </w:rPr>
        <w:t xml:space="preserve">☐  </w:t>
      </w:r>
      <w:r>
        <w:rPr>
          <w:b/>
          <w:bCs/>
          <w:color w:val="1A130C"/>
        </w:rPr>
        <w:t xml:space="preserve">Choose one Douay-Rheims edition.  </w:t>
      </w:r>
      <w:r>
        <w:t xml:space="preserve">Words are already verified correct. Standardize punctuation and spelling (“labour” vs. “labor,” colon vs. semicolon, opening conjunctions kept or dropped) to one authoritative edition (drbo.org or Baronius Press Challoner).</w:t>
      </w:r>
    </w:p>
    <w:p>
      <w:pPr>
        <w:spacing w:after="40" w:line="264"/>
        <w:ind w:left="360"/>
      </w:pPr>
      <w:r>
        <w:rPr>
          <w:b/>
          <w:bCs/>
          <w:color w:val="5F5E5A"/>
          <w:sz w:val="18"/>
          <w:szCs w:val="18"/>
        </w:rPr>
        <w:t xml:space="preserve">Why  </w:t>
      </w:r>
      <w:r>
        <w:rPr>
          <w:color w:val="5F5E5A"/>
          <w:sz w:val="18"/>
          <w:szCs w:val="18"/>
        </w:rPr>
        <w:t xml:space="preserve">Digital Douays disagree on punctuation and spelling, and the verification dataset is itself inconsistent. Mixed conventions read as carelessness to an attentive user.</w:t>
      </w:r>
    </w:p>
    <w:p>
      <w:pPr>
        <w:spacing w:after="40" w:before="100" w:line="276"/>
        <w:ind w:left="360" w:hanging="360"/>
      </w:pPr>
      <w:r>
        <w:rPr>
          <w:color w:val="1A130C"/>
          <w:sz w:val="26"/>
          <w:szCs w:val="26"/>
        </w:rPr>
        <w:t xml:space="preserve">☐  </w:t>
      </w:r>
      <w:r>
        <w:rPr>
          <w:b/>
          <w:bCs/>
          <w:color w:val="1A130C"/>
        </w:rPr>
        <w:t xml:space="preserve">Choose one Thérèse edition.  </w:t>
      </w:r>
      <w:r>
        <w:t xml:space="preserve">Settle on one English edition of Story of a Soul and the Last Conversations, and conform every Thérèse quote to it.</w:t>
      </w:r>
    </w:p>
    <w:p>
      <w:pPr>
        <w:spacing w:after="40" w:line="264"/>
        <w:ind w:left="360"/>
      </w:pPr>
      <w:r>
        <w:rPr>
          <w:b/>
          <w:bCs/>
          <w:color w:val="5F5E5A"/>
          <w:sz w:val="18"/>
          <w:szCs w:val="18"/>
        </w:rPr>
        <w:t xml:space="preserve">Why  </w:t>
      </w:r>
      <w:r>
        <w:rPr>
          <w:color w:val="5F5E5A"/>
          <w:sz w:val="18"/>
          <w:szCs w:val="18"/>
        </w:rPr>
        <w:t xml:space="preserve">Her imagery changes meaningfully between translations (“lift” vs. “elevator” for the same image). One edition keeps her voice consistent.</w:t>
      </w:r>
    </w:p>
    <w:p>
      <w:pPr>
        <w:spacing w:after="40" w:before="100" w:line="276"/>
        <w:ind w:left="360" w:hanging="360"/>
      </w:pPr>
      <w:r>
        <w:rPr>
          <w:color w:val="8B1A1A"/>
          <w:sz w:val="26"/>
          <w:szCs w:val="26"/>
        </w:rPr>
        <w:t xml:space="preserve">☐  </w:t>
      </w:r>
      <w:r>
        <w:rPr>
          <w:b/>
          <w:bCs/>
          <w:color w:val="8B1A1A"/>
        </w:rPr>
        <w:t xml:space="preserve">Choose one Desert Fathers translation.  </w:t>
      </w:r>
      <w:r>
        <w:t xml:space="preserve">Pick a usable (public-domain or licensed) translation and standardize Anthony’s house style to it. Keep quotes short.</w:t>
      </w:r>
    </w:p>
    <w:p>
      <w:pPr>
        <w:spacing w:after="40" w:line="264"/>
        <w:ind w:left="360"/>
      </w:pPr>
      <w:r>
        <w:rPr>
          <w:b/>
          <w:bCs/>
          <w:color w:val="5F5E5A"/>
          <w:sz w:val="18"/>
          <w:szCs w:val="18"/>
        </w:rPr>
        <w:t xml:space="preserve">Why  </w:t>
      </w:r>
      <w:r>
        <w:rPr>
          <w:color w:val="5F5E5A"/>
          <w:sz w:val="18"/>
          <w:szCs w:val="18"/>
        </w:rPr>
        <w:t xml:space="preserve">The standard modern English (Benedicta Ward) is under copyright and cannot simply be lifted. The translation choice has a rights dimension, not just a style one.</w:t>
      </w:r>
    </w:p>
    <w:p>
      <w:pPr>
        <w:pBdr>
          <w:bottom w:val="single" w:color="C9BFA8" w:sz="6" w:space="1"/>
        </w:pBdr>
        <w:spacing w:after="160" w:before="60"/>
      </w:pPr>
      <w:r>
        <w:t xml:space="preserve"/>
      </w:r>
    </w:p>
    <w:p>
      <w:pPr>
        <w:pStyle w:val="Heading1"/>
      </w:pPr>
      <w:r>
        <w:t xml:space="preserve">3. Factual and doctrinal accuracy</w:t>
      </w:r>
    </w:p>
    <w:p>
      <w:pPr>
        <w:spacing w:after="120" w:line="276"/>
      </w:pPr>
      <w:r>
        <w:t xml:space="preserve">Claims about what is true or required. Errors here misinform a serious Catholic, which is a different and worse failure than a style slip.</w:t>
      </w:r>
    </w:p>
    <w:p>
      <w:pPr>
        <w:spacing w:after="40" w:before="100" w:line="276"/>
        <w:ind w:left="360" w:hanging="360"/>
      </w:pPr>
      <w:r>
        <w:rPr>
          <w:color w:val="8B1A1A"/>
          <w:sz w:val="26"/>
          <w:szCs w:val="26"/>
        </w:rPr>
        <w:t xml:space="preserve">☐  </w:t>
      </w:r>
      <w:r>
        <w:rPr>
          <w:b/>
          <w:bCs/>
          <w:color w:val="8B1A1A"/>
        </w:rPr>
        <w:t xml:space="preserve">The fasting exemptions list.  </w:t>
      </w:r>
      <w:r>
        <w:t xml:space="preserve">Confirm the exemptions the content asserts (pregnancy, nursing, illness, labor, youth, age) are accurately and completely stated wherever they appear.</w:t>
      </w:r>
    </w:p>
    <w:p>
      <w:pPr>
        <w:spacing w:after="40" w:line="264"/>
        <w:ind w:left="360"/>
      </w:pPr>
      <w:r>
        <w:rPr>
          <w:b/>
          <w:bCs/>
          <w:color w:val="5F5E5A"/>
          <w:sz w:val="18"/>
          <w:szCs w:val="18"/>
        </w:rPr>
        <w:t xml:space="preserve">Why  </w:t>
      </w:r>
      <w:r>
        <w:rPr>
          <w:color w:val="5F5E5A"/>
          <w:sz w:val="18"/>
          <w:szCs w:val="18"/>
        </w:rPr>
        <w:t xml:space="preserve">Under-stating the exemptions could leave someone fasting who should not be. This is a safety claim, not a flourish.</w:t>
      </w:r>
    </w:p>
    <w:p>
      <w:pPr>
        <w:spacing w:after="40" w:before="100" w:line="276"/>
        <w:ind w:left="360" w:hanging="360"/>
      </w:pPr>
      <w:r>
        <w:rPr>
          <w:color w:val="1A130C"/>
          <w:sz w:val="26"/>
          <w:szCs w:val="26"/>
        </w:rPr>
        <w:t xml:space="preserve">☐  </w:t>
      </w:r>
      <w:r>
        <w:rPr>
          <w:b/>
          <w:bCs/>
          <w:color w:val="1A130C"/>
        </w:rPr>
        <w:t xml:space="preserve">Feast dates, ranks, and calendar variants.  </w:t>
      </w:r>
      <w:r>
        <w:t xml:space="preserve">Joseph (Mar 19 solemnity, May 1 feast), Benedict (Jul 11, older-calendar Mar 21 Transitus), Hyacinth (Aug 17), Thérèse (Oct 1, traditional Oct 3), Anthony (Jan 17). Confirm each is correct for both the OF and 1962 calendars the app supports.</w:t>
      </w:r>
    </w:p>
    <w:p>
      <w:pPr>
        <w:spacing w:after="40" w:line="264"/>
        <w:ind w:left="360"/>
      </w:pPr>
      <w:r>
        <w:rPr>
          <w:b/>
          <w:bCs/>
          <w:color w:val="5F5E5A"/>
          <w:sz w:val="18"/>
          <w:szCs w:val="18"/>
        </w:rPr>
        <w:t xml:space="preserve">Why  </w:t>
      </w:r>
      <w:r>
        <w:rPr>
          <w:color w:val="5F5E5A"/>
          <w:sz w:val="18"/>
          <w:szCs w:val="18"/>
        </w:rPr>
        <w:t xml:space="preserve">The feast notes drive the app’s feast-day behavior. A wrong date or rank surfaces the wrong content on the wrong day.</w:t>
      </w:r>
    </w:p>
    <w:p>
      <w:pPr>
        <w:spacing w:after="40" w:before="100" w:line="276"/>
        <w:ind w:left="360" w:hanging="360"/>
      </w:pPr>
      <w:r>
        <w:rPr>
          <w:color w:val="1A130C"/>
          <w:sz w:val="26"/>
          <w:szCs w:val="26"/>
        </w:rPr>
        <w:t xml:space="preserve">☐  </w:t>
      </w:r>
      <w:r>
        <w:rPr>
          <w:b/>
          <w:bCs/>
          <w:color w:val="1A130C"/>
        </w:rPr>
        <w:t xml:space="preserve">The two Joseph typological lines.  </w:t>
      </w:r>
      <w:r>
        <w:t xml:space="preserve">“Go to Joseph” (Genesis 41:55, kept as the Ite ad Ioseph motto) and Psalm 104:21 (already cut). Confirm both calls, and decide whether “Go to Joseph” needs in-app framing so it does not read as a literal saying of St. Joseph.</w:t>
      </w:r>
    </w:p>
    <w:p>
      <w:pPr>
        <w:spacing w:after="40" w:line="264"/>
        <w:ind w:left="360"/>
      </w:pPr>
      <w:r>
        <w:rPr>
          <w:b/>
          <w:bCs/>
          <w:color w:val="5F5E5A"/>
          <w:sz w:val="18"/>
          <w:szCs w:val="18"/>
        </w:rPr>
        <w:t xml:space="preserve">Why  </w:t>
      </w:r>
      <w:r>
        <w:rPr>
          <w:color w:val="5F5E5A"/>
          <w:sz w:val="18"/>
          <w:szCs w:val="18"/>
        </w:rPr>
        <w:t xml:space="preserve">Both reach St. Joseph through Joseph the Patriarch. Stripped of framing in-app, a typological line can read as a flat biographical claim it is not.</w:t>
      </w:r>
    </w:p>
    <w:p>
      <w:pPr>
        <w:spacing w:after="40" w:before="100" w:line="276"/>
        <w:ind w:left="360" w:hanging="360"/>
      </w:pPr>
      <w:r>
        <w:rPr>
          <w:color w:val="1A130C"/>
          <w:sz w:val="26"/>
          <w:szCs w:val="26"/>
        </w:rPr>
        <w:t xml:space="preserve">☐  </w:t>
      </w:r>
      <w:r>
        <w:rPr>
          <w:b/>
          <w:bCs/>
          <w:color w:val="1A130C"/>
        </w:rPr>
        <w:t xml:space="preserve">The Cassian / Anthony discretion attribution.  </w:t>
      </w:r>
      <w:r>
        <w:t xml:space="preserve">“Discretion is the mother of virtues,” credited via Cassian’s Conferences to Anthony and the fathers, and noted as a bridge to Benedict’s ch. 64. Confirm the attribution chain is stated accurately.</w:t>
      </w:r>
    </w:p>
    <w:p>
      <w:pPr>
        <w:spacing w:after="40" w:line="264"/>
        <w:ind w:left="360"/>
      </w:pPr>
      <w:r>
        <w:rPr>
          <w:b/>
          <w:bCs/>
          <w:color w:val="5F5E5A"/>
          <w:sz w:val="18"/>
          <w:szCs w:val="18"/>
        </w:rPr>
        <w:t xml:space="preserve">Why  </w:t>
      </w:r>
      <w:r>
        <w:rPr>
          <w:color w:val="5F5E5A"/>
          <w:sz w:val="18"/>
          <w:szCs w:val="18"/>
        </w:rPr>
        <w:t xml:space="preserve">It does double duty as a quote and as a claimed link between two patrons, so a loose attribution would propagate.</w:t>
      </w:r>
    </w:p>
    <w:p>
      <w:pPr>
        <w:spacing w:after="40" w:before="100" w:line="276"/>
        <w:ind w:left="360" w:hanging="360"/>
      </w:pPr>
      <w:r>
        <w:rPr>
          <w:color w:val="8B1A1A"/>
          <w:sz w:val="26"/>
          <w:szCs w:val="26"/>
        </w:rPr>
        <w:t xml:space="preserve">☐  </w:t>
      </w:r>
      <w:r>
        <w:rPr>
          <w:b/>
          <w:bCs/>
          <w:color w:val="8B1A1A"/>
        </w:rPr>
        <w:t xml:space="preserve">The theology of asceticism under the fasting content.  </w:t>
      </w:r>
      <w:r>
        <w:t xml:space="preserve">Confirm the underlying claim, that fasting is ordered to freedom and prayer and never to merit-earning or self-punishment, is doctrinally sound, not just well-intentioned.</w:t>
      </w:r>
    </w:p>
    <w:p>
      <w:pPr>
        <w:spacing w:after="40" w:line="264"/>
        <w:ind w:left="360"/>
      </w:pPr>
      <w:r>
        <w:rPr>
          <w:b/>
          <w:bCs/>
          <w:color w:val="5F5E5A"/>
          <w:sz w:val="18"/>
          <w:szCs w:val="18"/>
        </w:rPr>
        <w:t xml:space="preserve">Why  </w:t>
      </w:r>
      <w:r>
        <w:rPr>
          <w:color w:val="5F5E5A"/>
          <w:sz w:val="18"/>
          <w:szCs w:val="18"/>
        </w:rPr>
        <w:t xml:space="preserve">This is the doctrinal spine of the entire fasting layer. If the theology underneath is off, every fasting surface inherits it.</w:t>
      </w:r>
    </w:p>
    <w:p>
      <w:pPr>
        <w:pBdr>
          <w:bottom w:val="single" w:color="C9BFA8" w:sz="6" w:space="1"/>
        </w:pBdr>
        <w:spacing w:after="160" w:before="60"/>
      </w:pPr>
      <w:r>
        <w:t xml:space="preserve"/>
      </w:r>
    </w:p>
    <w:p>
      <w:pPr>
        <w:pStyle w:val="Heading1"/>
      </w:pPr>
      <w:r>
        <w:t xml:space="preserve">4. Disposition — what the language forms in the reader</w:t>
      </w:r>
    </w:p>
    <w:p>
      <w:pPr>
        <w:spacing w:after="120" w:line="276"/>
      </w:pPr>
      <w:r>
        <w:t xml:space="preserve">The subtlest category. The question is not “is it accurate” but “what does living by this content do to a person.” These need someone who has watched real spiritual lives go wrong in these specific ways; accurate content can still be formationally harmful.</w:t>
      </w:r>
    </w:p>
    <w:p>
      <w:pPr>
        <w:spacing w:after="40" w:before="100" w:line="276"/>
        <w:ind w:left="360" w:hanging="360"/>
      </w:pPr>
      <w:r>
        <w:rPr>
          <w:color w:val="8B1A1A"/>
          <w:sz w:val="26"/>
          <w:szCs w:val="26"/>
        </w:rPr>
        <w:t xml:space="preserve">☐  </w:t>
      </w:r>
      <w:r>
        <w:rPr>
          <w:b/>
          <w:bCs/>
          <w:color w:val="8B1A1A"/>
        </w:rPr>
        <w:t xml:space="preserve">Anthony, whole section, against “follow is not match.”  </w:t>
      </w:r>
      <w:r>
        <w:t xml:space="preserve">The content steers a struggling or over-identifying user toward eating, rest, Benedict, and Thérèse. Confirm that steering is unmistakable to the vulnerable reader, not merely present.</w:t>
      </w:r>
    </w:p>
    <w:p>
      <w:pPr>
        <w:spacing w:after="40" w:line="264"/>
        <w:ind w:left="360"/>
      </w:pPr>
      <w:r>
        <w:rPr>
          <w:b/>
          <w:bCs/>
          <w:color w:val="5F5E5A"/>
          <w:sz w:val="18"/>
          <w:szCs w:val="18"/>
        </w:rPr>
        <w:t xml:space="preserve">Why  </w:t>
      </w:r>
      <w:r>
        <w:rPr>
          <w:color w:val="5F5E5A"/>
          <w:sz w:val="18"/>
          <w:szCs w:val="18"/>
        </w:rPr>
        <w:t xml:space="preserve">Test it against the real person most drawn to Anthony. Does the cumulative disposition leave them freer and humbler, or, despite the safeguards, feeling that severity is the goal.</w:t>
      </w:r>
    </w:p>
    <w:p>
      <w:pPr>
        <w:spacing w:after="40" w:before="100" w:line="276"/>
        <w:ind w:left="360" w:hanging="360"/>
      </w:pPr>
      <w:r>
        <w:rPr>
          <w:color w:val="8B1A1A"/>
          <w:sz w:val="26"/>
          <w:szCs w:val="26"/>
        </w:rPr>
        <w:t xml:space="preserve">☐  </w:t>
      </w:r>
      <w:r>
        <w:rPr>
          <w:b/>
          <w:bCs/>
          <w:color w:val="8B1A1A"/>
        </w:rPr>
        <w:t xml:space="preserve">Anthony, disordered-eating cover risk.  </w:t>
      </w:r>
      <w:r>
        <w:t xml:space="preserve">Read the fasting note and the table description asking specifically: could someone using fasting as cover for restriction read this as permission or encouragement? Confirm the safeguards are real, not transparent to someone determined to misuse the frame.</w:t>
      </w:r>
    </w:p>
    <w:p>
      <w:pPr>
        <w:spacing w:after="40" w:line="264"/>
        <w:ind w:left="360"/>
      </w:pPr>
      <w:r>
        <w:rPr>
          <w:b/>
          <w:bCs/>
          <w:color w:val="5F5E5A"/>
          <w:sz w:val="18"/>
          <w:szCs w:val="18"/>
        </w:rPr>
        <w:t xml:space="preserve">Why  </w:t>
      </w:r>
      <w:r>
        <w:rPr>
          <w:color w:val="5F5E5A"/>
          <w:sz w:val="18"/>
          <w:szCs w:val="18"/>
        </w:rPr>
        <w:t xml:space="preserve">This is the sharpest wellbeing edge in the product. Faith-framing can sanctify a harmful pattern in a way a secular app cannot.</w:t>
      </w:r>
    </w:p>
    <w:p>
      <w:pPr>
        <w:spacing w:after="40" w:before="100" w:line="276"/>
        <w:ind w:left="360" w:hanging="360"/>
      </w:pPr>
      <w:r>
        <w:rPr>
          <w:color w:val="1A130C"/>
          <w:sz w:val="26"/>
          <w:szCs w:val="26"/>
        </w:rPr>
        <w:t xml:space="preserve">☐  </w:t>
      </w:r>
      <w:r>
        <w:rPr>
          <w:b/>
          <w:bCs/>
          <w:color w:val="1A130C"/>
        </w:rPr>
        <w:t xml:space="preserve">Scrupulosity, across all obligation language.  </w:t>
      </w:r>
      <w:r>
        <w:t xml:space="preserve">Wherever the content touches what binds versus what is freely chosen, confirm it relieves rather than feeds the tendency to manufacture obligations and experience freedom as sin.</w:t>
      </w:r>
    </w:p>
    <w:p>
      <w:pPr>
        <w:spacing w:after="40" w:line="264"/>
        <w:ind w:left="360"/>
      </w:pPr>
      <w:r>
        <w:rPr>
          <w:b/>
          <w:bCs/>
          <w:color w:val="5F5E5A"/>
          <w:sz w:val="18"/>
          <w:szCs w:val="18"/>
        </w:rPr>
        <w:t xml:space="preserve">Why  </w:t>
      </w:r>
      <w:r>
        <w:rPr>
          <w:color w:val="5F5E5A"/>
          <w:sz w:val="18"/>
          <w:szCs w:val="18"/>
        </w:rPr>
        <w:t xml:space="preserve">The obligation / free-choice line is exactly where scrupulosity grows. Careless framing here harms the conscientious user most.</w:t>
      </w:r>
    </w:p>
    <w:p>
      <w:pPr>
        <w:spacing w:after="40" w:before="100" w:line="276"/>
        <w:ind w:left="360" w:hanging="360"/>
      </w:pPr>
      <w:r>
        <w:rPr>
          <w:color w:val="8B1A1A"/>
          <w:sz w:val="26"/>
          <w:szCs w:val="26"/>
        </w:rPr>
        <w:t xml:space="preserve">☐  </w:t>
      </w:r>
      <w:r>
        <w:rPr>
          <w:b/>
          <w:bCs/>
          <w:color w:val="8B1A1A"/>
        </w:rPr>
        <w:t xml:space="preserve">Thérèse, against reading as restriction guidance.  </w:t>
      </w:r>
      <w:r>
        <w:t xml:space="preserve">Confirm no line reads as guidance toward eating less, and that every “less” reads as permission and gift rather than diminishment or a smaller target to hit.</w:t>
      </w:r>
    </w:p>
    <w:p>
      <w:pPr>
        <w:spacing w:after="40" w:line="264"/>
        <w:ind w:left="360"/>
      </w:pPr>
      <w:r>
        <w:rPr>
          <w:b/>
          <w:bCs/>
          <w:color w:val="5F5E5A"/>
          <w:sz w:val="18"/>
          <w:szCs w:val="18"/>
        </w:rPr>
        <w:t xml:space="preserve">Why  </w:t>
      </w:r>
      <w:r>
        <w:rPr>
          <w:color w:val="5F5E5A"/>
          <w:sz w:val="18"/>
          <w:szCs w:val="18"/>
        </w:rPr>
        <w:t xml:space="preserve">Her whole role is the catalog’s safety valve. If a single line tips toward restriction, the valve fails for the most vulnerable users.</w:t>
      </w:r>
    </w:p>
    <w:p>
      <w:pPr>
        <w:spacing w:after="40" w:before="100" w:line="276"/>
        <w:ind w:left="360" w:hanging="360"/>
      </w:pPr>
      <w:r>
        <w:rPr>
          <w:color w:val="1A130C"/>
          <w:sz w:val="26"/>
          <w:szCs w:val="26"/>
        </w:rPr>
        <w:t xml:space="preserve">☐  </w:t>
      </w:r>
      <w:r>
        <w:rPr>
          <w:b/>
          <w:bCs/>
          <w:color w:val="1A130C"/>
        </w:rPr>
        <w:t xml:space="preserve">The “do not fast, feast” feast notes.  </w:t>
      </w:r>
      <w:r>
        <w:t xml:space="preserve">Anthony’s especially. Confirm “on the feast of the great faster, do not fast” lands as the intended lesson (even the hardest ascetic feasts gladly) and not as a confusing mixed signal to someone who came for severity.</w:t>
      </w:r>
    </w:p>
    <w:p>
      <w:pPr>
        <w:spacing w:after="40" w:line="264"/>
        <w:ind w:left="360"/>
      </w:pPr>
      <w:r>
        <w:rPr>
          <w:b/>
          <w:bCs/>
          <w:color w:val="5F5E5A"/>
          <w:sz w:val="18"/>
          <w:szCs w:val="18"/>
        </w:rPr>
        <w:t xml:space="preserve">Why  </w:t>
      </w:r>
      <w:r>
        <w:rPr>
          <w:color w:val="5F5E5A"/>
          <w:sz w:val="18"/>
          <w:szCs w:val="18"/>
        </w:rPr>
        <w:t xml:space="preserve">An ascetic-minded user can read a feast-day permission as a test or a trap. The note has to be unambiguous.</w:t>
      </w:r>
    </w:p>
    <w:p>
      <w:pPr>
        <w:pBdr>
          <w:bottom w:val="single" w:color="C9BFA8" w:sz="6" w:space="1"/>
        </w:pBdr>
        <w:spacing w:after="160" w:before="60"/>
      </w:pPr>
      <w:r>
        <w:t xml:space="preserve"/>
      </w:r>
    </w:p>
    <w:p>
      <w:pPr>
        <w:pStyle w:val="Heading1"/>
      </w:pPr>
      <w:r>
        <w:t xml:space="preserve">5. Voice and consistency</w:t>
      </w:r>
    </w:p>
    <w:p>
      <w:pPr>
        <w:spacing w:after="120" w:line="276"/>
      </w:pPr>
      <w:r>
        <w:t xml:space="preserve">One editor holds the whole, so the catalog reads as one app with five companions rather than five writers.</w:t>
      </w:r>
    </w:p>
    <w:p>
      <w:pPr>
        <w:spacing w:after="40" w:before="100" w:line="276"/>
        <w:ind w:left="360" w:hanging="360"/>
      </w:pPr>
      <w:r>
        <w:rPr>
          <w:color w:val="1A130C"/>
          <w:sz w:val="26"/>
          <w:szCs w:val="26"/>
        </w:rPr>
        <w:t xml:space="preserve">☐  </w:t>
      </w:r>
      <w:r>
        <w:rPr>
          <w:b/>
          <w:bCs/>
          <w:color w:val="1A130C"/>
        </w:rPr>
        <w:t xml:space="preserve">Single-voice hold across five patrons.  </w:t>
      </w:r>
      <w:r>
        <w:t xml:space="preserve">The register is set by the anchors, Joseph and Benedict. Confirm Hyacinth, Thérèse, and Anthony actually match it.</w:t>
      </w:r>
    </w:p>
    <w:p>
      <w:pPr>
        <w:spacing w:after="40" w:line="264"/>
        <w:ind w:left="360"/>
      </w:pPr>
      <w:r>
        <w:rPr>
          <w:b/>
          <w:bCs/>
          <w:color w:val="5F5E5A"/>
          <w:sz w:val="18"/>
          <w:szCs w:val="18"/>
        </w:rPr>
        <w:t xml:space="preserve">Why  </w:t>
      </w:r>
      <w:r>
        <w:rPr>
          <w:color w:val="5F5E5A"/>
          <w:sz w:val="18"/>
          <w:szCs w:val="18"/>
        </w:rPr>
        <w:t xml:space="preserve">Five voices read as five products. One voice reads as one studio, which is the Lampstand signal.</w:t>
      </w:r>
    </w:p>
    <w:p>
      <w:pPr>
        <w:spacing w:after="40" w:before="100" w:line="276"/>
        <w:ind w:left="360" w:hanging="360"/>
      </w:pPr>
      <w:r>
        <w:rPr>
          <w:color w:val="1A130C"/>
          <w:sz w:val="26"/>
          <w:szCs w:val="26"/>
        </w:rPr>
        <w:t xml:space="preserve">☐  </w:t>
      </w:r>
      <w:r>
        <w:rPr>
          <w:b/>
          <w:bCs/>
          <w:color w:val="1A130C"/>
        </w:rPr>
        <w:t xml:space="preserve">Brief-compliance sweep.  </w:t>
      </w:r>
      <w:r>
        <w:t xml:space="preserve">Check the whole catalog against the authoring brief’s hard rules: no em-dashes, no emoji, quotes under 15 words ideal and 25 max, sentence case, inviting-never-accusing on every surface.</w:t>
      </w:r>
    </w:p>
    <w:p>
      <w:pPr>
        <w:spacing w:after="40" w:line="264"/>
        <w:ind w:left="360"/>
      </w:pPr>
      <w:r>
        <w:rPr>
          <w:b/>
          <w:bCs/>
          <w:color w:val="5F5E5A"/>
          <w:sz w:val="18"/>
          <w:szCs w:val="18"/>
        </w:rPr>
        <w:t xml:space="preserve">Why  </w:t>
      </w:r>
      <w:r>
        <w:rPr>
          <w:color w:val="5F5E5A"/>
          <w:sz w:val="18"/>
          <w:szCs w:val="18"/>
        </w:rPr>
        <w:t xml:space="preserve">These were the stated constraints. Confirm nothing slipped during writing.</w:t>
      </w:r>
    </w:p>
    <w:p>
      <w:pPr>
        <w:spacing w:after="40" w:before="100" w:line="276"/>
        <w:ind w:left="360" w:hanging="360"/>
      </w:pPr>
      <w:r>
        <w:rPr>
          <w:color w:val="1A130C"/>
          <w:sz w:val="26"/>
          <w:szCs w:val="26"/>
        </w:rPr>
        <w:t xml:space="preserve">☐  </w:t>
      </w:r>
      <w:r>
        <w:rPr>
          <w:b/>
          <w:bCs/>
          <w:color w:val="1A130C"/>
        </w:rPr>
        <w:t xml:space="preserve">“Begin again” usage.  </w:t>
      </w:r>
      <w:r>
        <w:t xml:space="preserve">Confirm it is used freely as Kanon’s own phrase everywhere and never set in quotation marks as a Benedict quote.</w:t>
      </w:r>
    </w:p>
    <w:p>
      <w:pPr>
        <w:spacing w:after="40" w:line="264"/>
        <w:ind w:left="360"/>
      </w:pPr>
      <w:r>
        <w:rPr>
          <w:b/>
          <w:bCs/>
          <w:color w:val="5F5E5A"/>
          <w:sz w:val="18"/>
          <w:szCs w:val="18"/>
        </w:rPr>
        <w:t xml:space="preserve">Why  </w:t>
      </w:r>
      <w:r>
        <w:rPr>
          <w:color w:val="5F5E5A"/>
          <w:sz w:val="18"/>
          <w:szCs w:val="18"/>
        </w:rPr>
        <w:t xml:space="preserve">The draft correctly found it is Benedictine in spirit but not a line of the Rule. Quoting it as his would be a sourcing error the catalog already caught once.</w:t>
      </w:r>
    </w:p>
    <w:p>
      <w:pPr>
        <w:pBdr>
          <w:bottom w:val="single" w:color="C9BFA8" w:sz="6" w:space="1"/>
        </w:pBdr>
        <w:spacing w:after="160" w:before="60"/>
      </w:pPr>
      <w:r>
        <w:t xml:space="preserve"/>
      </w:r>
    </w:p>
    <w:p>
      <w:pPr>
        <w:pStyle w:val="Heading1"/>
      </w:pPr>
      <w:r>
        <w:t xml:space="preserve">6. Items beyond the current catalog</w:t>
      </w:r>
    </w:p>
    <w:p>
      <w:pPr>
        <w:spacing w:after="120" w:line="276"/>
      </w:pPr>
      <w:r>
        <w:t xml:space="preserve">Two things this checklist should anticipate, because they are not in the present draft but inherit its standards.</w:t>
      </w:r>
    </w:p>
    <w:p>
      <w:pPr>
        <w:spacing w:after="40" w:before="100" w:line="276"/>
        <w:ind w:left="360" w:hanging="360"/>
      </w:pPr>
      <w:r>
        <w:rPr>
          <w:color w:val="8B1A1A"/>
          <w:sz w:val="26"/>
          <w:szCs w:val="26"/>
        </w:rPr>
        <w:t xml:space="preserve">☐  </w:t>
      </w:r>
      <w:r>
        <w:rPr>
          <w:b/>
          <w:bCs/>
          <w:color w:val="8B1A1A"/>
        </w:rPr>
        <w:t xml:space="preserve">Recipe and culinary content (not yet written).  </w:t>
      </w:r>
      <w:r>
        <w:t xml:space="preserve">When the per-saint recipes are authored (Levantine for Joseph, Polish/Dominican for Hyacinth, desert-spare for Anthony, French-domestic for Thérèse, Italian-monastic for Benedict), they inherit this entire checklist: accuracy (are fast-tagged recipes actually compliant with the rule they are tagged to) and disposition (does Anthony’s “spare fare” avoid presenting restriction as aspirational on the food side too).</w:t>
      </w:r>
    </w:p>
    <w:p>
      <w:pPr>
        <w:spacing w:after="40" w:line="264"/>
        <w:ind w:left="360"/>
      </w:pPr>
      <w:r>
        <w:rPr>
          <w:b/>
          <w:bCs/>
          <w:color w:val="5F5E5A"/>
          <w:sz w:val="18"/>
          <w:szCs w:val="18"/>
        </w:rPr>
        <w:t xml:space="preserve">Why  </w:t>
      </w:r>
      <w:r>
        <w:rPr>
          <w:color w:val="5F5E5A"/>
          <w:sz w:val="18"/>
          <w:szCs w:val="18"/>
        </w:rPr>
        <w:t xml:space="preserve">The recipe content is a separate body of work with the same accuracy and wellbeing stakes. Flag it now so it does not ship to a lower bar than the formation content.</w:t>
      </w:r>
    </w:p>
    <w:p>
      <w:pPr>
        <w:spacing w:after="40" w:before="100" w:line="276"/>
        <w:ind w:left="360" w:hanging="360"/>
      </w:pPr>
      <w:r>
        <w:rPr>
          <w:color w:val="1A130C"/>
          <w:sz w:val="26"/>
          <w:szCs w:val="26"/>
        </w:rPr>
        <w:t xml:space="preserve">☐  </w:t>
      </w:r>
      <w:r>
        <w:rPr>
          <w:b/>
          <w:bCs/>
          <w:color w:val="1A130C"/>
        </w:rPr>
        <w:t xml:space="preserve">Scope-creep check against deferred features.  </w:t>
      </w:r>
      <w:r>
        <w:t xml:space="preserve">Confirm nothing in the content assumes a feature v1 deferred. The feast notes reference “Saint Challenge” workouts as though they exist; confirm those are in v1 scope, or soften the language so the content does not promise a feature the app does not ship.</w:t>
      </w:r>
    </w:p>
    <w:p>
      <w:pPr>
        <w:spacing w:after="40" w:line="264"/>
        <w:ind w:left="360"/>
      </w:pPr>
      <w:r>
        <w:rPr>
          <w:b/>
          <w:bCs/>
          <w:color w:val="5F5E5A"/>
          <w:sz w:val="18"/>
          <w:szCs w:val="18"/>
        </w:rPr>
        <w:t xml:space="preserve">Why  </w:t>
      </w:r>
      <w:r>
        <w:rPr>
          <w:color w:val="5F5E5A"/>
          <w:sz w:val="18"/>
          <w:szCs w:val="18"/>
        </w:rPr>
        <w:t xml:space="preserve">Content that references not-yet-built features is a common way the editorial and engineering layers drift apart. Catch it before it becomes a broken promise to users.</w:t>
      </w:r>
    </w:p>
    <w:p>
      <w:pPr>
        <w:pBdr>
          <w:bottom w:val="single" w:color="C9BFA8" w:sz="6" w:space="1"/>
        </w:pBdr>
        <w:spacing w:after="160" w:before="60"/>
      </w:pPr>
      <w:r>
        <w:t xml:space="preserve"/>
      </w:r>
    </w:p>
    <w:p>
      <w:pPr>
        <w:pStyle w:val="Heading1"/>
      </w:pPr>
      <w:r>
        <w:t xml:space="preserve">What remains genuinely on the critical path</w:t>
      </w:r>
    </w:p>
    <w:p>
      <w:pPr>
        <w:spacing w:after="120" w:line="276"/>
      </w:pPr>
      <w:r>
        <w:t xml:space="preserve">Three of the above are load-bearing and gate launch rather than merely improving it. Do not let the polish of the prose create pressure to skip them.</w:t>
      </w:r>
    </w:p>
    <w:p>
      <w:pPr>
        <w:spacing w:after="80" w:line="276"/>
      </w:pPr>
      <w:r>
        <w:t xml:space="preserve">1.  </w:t>
      </w:r>
      <w:r>
        <w:rPr>
          <w:b/>
          <w:bCs/>
        </w:rPr>
        <w:t xml:space="preserve">Review of all fasting language and its disposition</w:t>
      </w:r>
      <w:r>
        <w:t xml:space="preserve">, Anthony above all (sections 3 and 4). Confirms both that the facts are right and that the formation is right, that a real person living by this content is drawn toward freedom rather than scrupulosity, restriction, or merit-counting.</w:t>
      </w:r>
    </w:p>
    <w:p>
      <w:pPr>
        <w:spacing w:after="80" w:line="276"/>
      </w:pPr>
      <w:r>
        <w:t xml:space="preserve">2.  </w:t>
      </w:r>
      <w:r>
        <w:rPr>
          <w:b/>
          <w:bCs/>
        </w:rPr>
        <w:t xml:space="preserve">Single-edition standardization</w:t>
      </w:r>
      <w:r>
        <w:t xml:space="preserve"> (section 2). Real editorial work across three source texts, not a find-and-replace, and one of the three has a copyright dimension.</w:t>
      </w:r>
    </w:p>
    <w:p>
      <w:pPr>
        <w:spacing w:after="120" w:line="276"/>
      </w:pPr>
      <w:r>
        <w:t xml:space="preserve">3.  </w:t>
      </w:r>
      <w:r>
        <w:rPr>
          <w:b/>
          <w:bCs/>
        </w:rPr>
        <w:t xml:space="preserve">The flagged exact-wording confirmations</w:t>
      </w:r>
      <w:r>
        <w:t xml:space="preserve"> (section 1). Each checked against the chosen editions or dropped.</w:t>
      </w:r>
    </w:p>
    <w:p>
      <w:pPr>
        <w:pBdr>
          <w:left w:val="single" w:color="B8960C" w:sz="18" w:space="14"/>
        </w:pBdr>
        <w:spacing w:after="160" w:before="120" w:line="276"/>
        <w:ind w:left="360"/>
      </w:pPr>
      <w:r>
        <w:rPr>
          <w:i/>
          <w:iCs/>
          <w:color w:val="1A130C"/>
        </w:rPr>
        <w:t xml:space="preserve">This structure, provenance and wording, accuracy, disposition, voice, and what is still open, is reusable. Every future patron in the catalog clears the same gates. You have built the editorial QA method for the whole saint line, not just the launch five.</w:t>
      </w:r>
    </w:p>
    <w:p>
      <w:pPr>
        <w:spacing w:after="80"/>
      </w:pPr>
      <w:r>
        <w:t xml:space="preserve"/>
      </w:r>
    </w:p>
    <w:p>
      <w:pPr>
        <w:pBdr>
          <w:top w:val="single" w:color="C9BFA8" w:sz="6" w:space="6"/>
        </w:pBdr>
        <w:spacing w:before="120"/>
      </w:pPr>
      <w:r>
        <w:rPr>
          <w:i/>
          <w:iCs/>
          <w:color w:val="5F5E5A"/>
          <w:sz w:val="18"/>
          <w:szCs w:val="18"/>
        </w:rPr>
        <w:t xml:space="preserve">Kanon · a Lampstand product · patron content pre-ship verification checklist, v1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Pre-Ship Verification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Playfair Display" w:cs="Playfair Display" w:eastAsia="Playfair Display" w:hAnsi="Playfair Display"/>
      <w:b/>
      <w:bCs/>
      <w:color w:val="1A130C"/>
      <w:sz w:val="30"/>
      <w:szCs w:val="30"/>
    </w:rPr>
  </w:style>
  <w:style w:type="paragraph" w:styleId="Heading2">
    <w:name w:val="Heading 2"/>
    <w:basedOn w:val="Normal"/>
    <w:next w:val="Normal"/>
    <w:qFormat/>
    <w:pPr>
      <w:spacing w:after="100" w:before="200"/>
      <w:outlineLvl w:val="1"/>
    </w:pPr>
    <w:rPr>
      <w:rFonts w:ascii="Playfair Display" w:cs="Playfair Display" w:eastAsia="Playfair Display" w:hAnsi="Playfair Display"/>
      <w:b/>
      <w:bCs/>
      <w:color w:val="8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Patron Content Pre-Ship Verification Checklist</dc:title>
  <dc:creator>Lampstand</dc:creator>
  <cp:lastModifiedBy>Un-named</cp:lastModifiedBy>
  <cp:revision>1</cp:revision>
  <dcterms:created xsi:type="dcterms:W3CDTF">2026-05-29T00:46:00.159Z</dcterms:created>
  <dcterms:modified xsi:type="dcterms:W3CDTF">2026-05-29T00:46:00.173Z</dcterms:modified>
</cp:coreProperties>
</file>

<file path=docProps/custom.xml><?xml version="1.0" encoding="utf-8"?>
<Properties xmlns="http://schemas.openxmlformats.org/officeDocument/2006/custom-properties" xmlns:vt="http://schemas.openxmlformats.org/officeDocument/2006/docPropsVTypes"/>
</file>