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A130C"/>
          <w:sz w:val="56"/>
          <w:szCs w:val="56"/>
        </w:rPr>
        <w:t xml:space="preserve">KANON</w:t>
      </w:r>
    </w:p>
    <w:p>
      <w:pPr>
        <w:pBdr>
          <w:bottom w:val="single" w:color="B8960C" w:sz="12" w:space="4"/>
        </w:pBdr>
        <w:spacing w:after="40"/>
      </w:pPr>
      <w:r>
        <w:rPr>
          <w:color w:val="8B1A1A"/>
          <w:sz w:val="27"/>
          <w:szCs w:val="27"/>
        </w:rPr>
        <w:t xml:space="preserve">v1 UI Design Brief</w:t>
      </w:r>
    </w:p>
    <w:p>
      <w:pPr>
        <w:spacing w:after="40" w:before="120"/>
      </w:pPr>
      <w:r>
        <w:rPr>
          <w:i/>
          <w:iCs/>
          <w:color w:val="5F5E5A"/>
          <w:sz w:val="22"/>
          <w:szCs w:val="22"/>
        </w:rPr>
        <w:t xml:space="preserve">For the developer and any designer who touches the product. The record of the locked design system, per-screen decisions, and the QA gates.</w:t>
      </w:r>
    </w:p>
    <w:p>
      <w:pPr>
        <w:spacing w:after="160"/>
      </w:pPr>
      <w:r>
        <w:rPr>
          <w:color w:val="5F5E5A"/>
          <w:sz w:val="20"/>
          <w:szCs w:val="20"/>
        </w:rPr>
        <w:t xml:space="preserve">Decided by comparative design exploration (rendered mockups, founder judgment). A Lampstand product.</w:t>
      </w:r>
    </w:p>
    <w:p>
      <w:pPr>
        <w:pBdr>
          <w:bottom w:val="single" w:color="C9BFA8" w:sz="6" w:space="1"/>
        </w:pBdr>
        <w:spacing w:after="160" w:before="60"/>
      </w:pPr>
      <w:r>
        <w:t xml:space="preserve"/>
      </w:r>
    </w:p>
    <w:p>
      <w:pPr>
        <w:pStyle w:val="Heading1"/>
      </w:pPr>
      <w:r>
        <w:t xml:space="preserve">0. The governing principles</w:t>
      </w:r>
    </w:p>
    <w:p>
      <w:pPr>
        <w:spacing w:after="120" w:line="276"/>
      </w:pPr>
      <w:r>
        <w:t xml:space="preserve">Five rules decide everything below. When a new screen or state has to be designed and this brief doesn't cover it, resolve it against these, in order.</w:t>
      </w:r>
    </w:p>
    <w:p>
      <w:pPr>
        <w:pStyle w:val="ListParagraph"/>
        <w:numPr>
          <w:ilvl w:val="0"/>
          <w:numId w:val="2"/>
        </w:numPr>
        <w:spacing w:after="70" w:line="270"/>
      </w:pPr>
      <w:r>
        <w:rPr>
          <w:b/>
          <w:bCs/>
        </w:rPr>
        <w:t xml:space="preserve">1. Fitness first, faith as capability. </w:t>
      </w:r>
      <w:r>
        <w:t xml:space="preserve">Kanon is a nutrition and training app; the Catholic layer is its unmatchable capability, not its wallpaper. The daily-loop screens (Home, Macros, Fasting) must read as a serious tracker a lifter would choose on merit. Faith works in the machinery there — the meal filter, the calendar strip, the training-collision warning, one serif line for the day — and speaks in its own voice only in the Rule tab and on feast days. App Store presence, onboarding order, and notifications all lead with the tracker.</w:t>
      </w:r>
    </w:p>
    <w:p>
      <w:pPr>
        <w:pStyle w:val="ListParagraph"/>
        <w:numPr>
          <w:ilvl w:val="0"/>
          <w:numId w:val="2"/>
        </w:numPr>
        <w:spacing w:after="70" w:line="270"/>
      </w:pPr>
      <w:r>
        <w:rPr>
          <w:b/>
          <w:bCs/>
        </w:rPr>
        <w:t xml:space="preserve">2. Serif for the sacred, sans for the functional. </w:t>
      </w:r>
      <w:r>
        <w:t xml:space="preserve">One typographic covenant across the app: EB Garamond (italic for lines of devotion) marks anything sacred — the day’s liturgical character, offerings, intentions, the entire Rule tab. Everything functional is the sans. The serif’s rarity on data screens is what gives it weight.</w:t>
      </w:r>
    </w:p>
    <w:p>
      <w:pPr>
        <w:pStyle w:val="ListParagraph"/>
        <w:numPr>
          <w:ilvl w:val="0"/>
          <w:numId w:val="2"/>
        </w:numPr>
        <w:spacing w:after="70" w:line="270"/>
      </w:pPr>
      <w:r>
        <w:rPr>
          <w:b/>
          <w:bCs/>
        </w:rPr>
        <w:t xml:space="preserve">3. No cards. </w:t>
      </w:r>
      <w:r>
        <w:t xml:space="preserve">No floating boxes, no drop shadows, no chip-and-badge chrome. Screens are continuous surfaces divided by hairline rules, edge to edge. The two sanctioned “heavy” elements are deliberate: the dark hero (Fasting’s obligation, Macros’ add-food bar) and the Rule masthead. Everything else is flat, flush, and divided by lines.</w:t>
      </w:r>
    </w:p>
    <w:p>
      <w:pPr>
        <w:pStyle w:val="ListParagraph"/>
        <w:numPr>
          <w:ilvl w:val="0"/>
          <w:numId w:val="2"/>
        </w:numPr>
        <w:spacing w:after="70" w:line="270"/>
      </w:pPr>
      <w:r>
        <w:rPr>
          <w:b/>
          <w:bCs/>
        </w:rPr>
        <w:t xml:space="preserve">4. Color carries meaning or it doesn’t appear. </w:t>
      </w:r>
      <w:r>
        <w:t xml:space="preserve">Each macro owns a color; fill length = progress toward goal. Oxblood is liturgical (fast days, binding obligations, rubric-style action links). Gold marks the sacred accents and the active protein. Nothing is colored for decoration.</w:t>
      </w:r>
    </w:p>
    <w:p>
      <w:pPr>
        <w:pStyle w:val="ListParagraph"/>
        <w:numPr>
          <w:ilvl w:val="0"/>
          <w:numId w:val="2"/>
        </w:numPr>
        <w:spacing w:after="70" w:line="270"/>
      </w:pPr>
      <w:r>
        <w:rPr>
          <w:b/>
          <w:bCs/>
        </w:rPr>
        <w:t xml:space="preserve">5. Each tab looks like its job. </w:t>
      </w:r>
      <w:r>
        <w:t xml:space="preserve">Home is a glance (dense dashboard). Macros is a ledger (diary rows + running totals). Fasting is a state-and-almanac (today’s rule + the week). Food is a browse (visual grid + faceted search). Rule is a page (editorial, set like a devotional). Five layouts, one soul — never one template wearing five labels.</w:t>
      </w:r>
    </w:p>
    <w:p>
      <w:pPr>
        <w:pBdr>
          <w:bottom w:val="single" w:color="C9BFA8" w:sz="6" w:space="1"/>
        </w:pBdr>
        <w:spacing w:after="160" w:before="60"/>
      </w:pPr>
      <w:r>
        <w:t xml:space="preserve"/>
      </w:r>
    </w:p>
    <w:p>
      <w:pPr>
        <w:pStyle w:val="Heading1"/>
      </w:pPr>
      <w:r>
        <w:t xml:space="preserve">1. Palette and type</w:t>
      </w:r>
    </w:p>
    <w:p>
      <w:pPr>
        <w:pStyle w:val="Heading3"/>
      </w:pPr>
      <w:r>
        <w:t xml:space="preserve">1.1 Palette — Marian Ink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Token</w:t>
            </w:r>
          </w:p>
        </w:tc>
        <w:tc>
          <w:tcPr>
            <w:tcW w:type="dxa" w:w="27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Value</w:t>
            </w:r>
          </w:p>
        </w:tc>
        <w:tc>
          <w:tcPr>
            <w:tcW w:type="dxa" w:w="47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Use</w:t>
            </w:r>
          </w:p>
        </w:tc>
      </w:tr>
      <w:tr>
        <w:trPr>
          <w:tblHeader w:val="false"/>
        </w:trPr>
        <w:tc>
          <w:tcPr>
            <w:tcW w:type="dxa" w:w="19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Ink navy</w:t>
            </w:r>
          </w:p>
        </w:tc>
        <w:tc>
          <w:tcPr>
            <w:tcW w:type="dxa" w:w="27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#0F1729 / #10131A</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Dark heroes, masthead, primary text on light, tab-active</w:t>
            </w:r>
          </w:p>
        </w:tc>
      </w:tr>
      <w:tr>
        <w:trPr>
          <w:tblHeader w:val="false"/>
        </w:trPr>
        <w:tc>
          <w:tcPr>
            <w:tcW w:type="dxa" w:w="19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Paper white</w:t>
            </w:r>
          </w:p>
        </w:tc>
        <w:tc>
          <w:tcPr>
            <w:tcW w:type="dxa" w:w="27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#FFFFFF</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Data-tab ground</w:t>
            </w:r>
          </w:p>
        </w:tc>
      </w:tr>
      <w:tr>
        <w:trPr>
          <w:tblHeader w:val="false"/>
        </w:trPr>
        <w:tc>
          <w:tcPr>
            <w:tcW w:type="dxa" w:w="19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Parchment</w:t>
            </w:r>
          </w:p>
        </w:tc>
        <w:tc>
          <w:tcPr>
            <w:tcW w:type="dxa" w:w="27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#F6F2E8</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Rule-tab ground only</w:t>
            </w:r>
          </w:p>
        </w:tc>
      </w:tr>
      <w:tr>
        <w:trPr>
          <w:tblHeader w:val="false"/>
        </w:trPr>
        <w:tc>
          <w:tcPr>
            <w:tcW w:type="dxa" w:w="19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Gold (deep)</w:t>
            </w:r>
          </w:p>
        </w:tc>
        <w:tc>
          <w:tcPr>
            <w:tcW w:type="dxa" w:w="27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#C09210</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Protein, sacred accents; the brighter #D4A017 only on dark ink</w:t>
            </w:r>
          </w:p>
        </w:tc>
      </w:tr>
      <w:tr>
        <w:trPr>
          <w:tblHeader w:val="false"/>
        </w:trPr>
        <w:tc>
          <w:tcPr>
            <w:tcW w:type="dxa" w:w="19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Teal (deep)</w:t>
            </w:r>
          </w:p>
        </w:tc>
        <w:tc>
          <w:tcPr>
            <w:tcW w:type="dxa" w:w="27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#177A5E</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Carbs, weight trend, positive deltas</w:t>
            </w:r>
          </w:p>
        </w:tc>
      </w:tr>
      <w:tr>
        <w:trPr>
          <w:tblHeader w:val="false"/>
        </w:trPr>
        <w:tc>
          <w:tcPr>
            <w:tcW w:type="dxa" w:w="19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Burnt coral</w:t>
            </w:r>
          </w:p>
        </w:tc>
        <w:tc>
          <w:tcPr>
            <w:tcW w:type="dxa" w:w="27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#B34A22</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Fat</w:t>
            </w:r>
          </w:p>
        </w:tc>
      </w:tr>
      <w:tr>
        <w:trPr>
          <w:tblHeader w:val="false"/>
        </w:trPr>
        <w:tc>
          <w:tcPr>
            <w:tcW w:type="dxa" w:w="19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Oxblood</w:t>
            </w:r>
          </w:p>
        </w:tc>
        <w:tc>
          <w:tcPr>
            <w:tcW w:type="dxa" w:w="27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#8B1A1A</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Liturgical: fast days, obligations, rubric action links</w:t>
            </w:r>
          </w:p>
        </w:tc>
      </w:tr>
      <w:tr>
        <w:trPr>
          <w:tblHeader w:val="false"/>
        </w:trPr>
        <w:tc>
          <w:tcPr>
            <w:tcW w:type="dxa" w:w="19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Warm grays</w:t>
            </w:r>
          </w:p>
        </w:tc>
        <w:tc>
          <w:tcPr>
            <w:tcW w:type="dxa" w:w="27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#9A968C / #B4B0A6 / #6E6A60</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Labels, secondary text, inactive</w:t>
            </w:r>
          </w:p>
        </w:tc>
      </w:tr>
      <w:tr>
        <w:trPr>
          <w:tblHeader w:val="false"/>
        </w:trPr>
        <w:tc>
          <w:tcPr>
            <w:tcW w:type="dxa" w:w="19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Hairline</w:t>
            </w:r>
          </w:p>
        </w:tc>
        <w:tc>
          <w:tcPr>
            <w:tcW w:type="dxa" w:w="27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#ECEAE4 (major) / #F4F2EC (minor)</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All dividers; two weights only</w:t>
            </w:r>
          </w:p>
        </w:tc>
      </w:tr>
    </w:tbl>
    <w:p>
      <w:pPr>
        <w:spacing w:after="40"/>
      </w:pPr>
      <w:r>
        <w:t xml:space="preserve"/>
      </w:r>
    </w:p>
    <w:p>
      <w:pPr>
        <w:spacing w:after="120" w:line="276"/>
      </w:pPr>
      <w:r>
        <w:t xml:space="preserve">Colors were deliberately deepened one step from the exploration values (gold #D4A017 → #C09210 on light grounds, etc.) to avoid a candy read. Keep the deep set on light backgrounds; the brighter set is permitted on dark ink where it must carry.</w:t>
      </w:r>
    </w:p>
    <w:p>
      <w:pPr>
        <w:pStyle w:val="Heading3"/>
      </w:pPr>
      <w:r>
        <w:t xml:space="preserve">1.2 Type</w:t>
      </w:r>
    </w:p>
    <w:p>
      <w:pPr>
        <w:pStyle w:val="ListParagraph"/>
        <w:numPr>
          <w:ilvl w:val="0"/>
          <w:numId w:val="2"/>
        </w:numPr>
        <w:spacing w:after="70" w:line="270"/>
      </w:pPr>
      <w:r>
        <w:t xml:space="preserve">Functional: a clean geometric-humanist sans (system or licensed), with tabular figures for all numeric columns. Numbers set semibold, slightly tight (-0.02em); their “/ goal” context set light gray at ~60% size beside them.</w:t>
      </w:r>
    </w:p>
    <w:p>
      <w:pPr>
        <w:pStyle w:val="ListParagraph"/>
        <w:numPr>
          <w:ilvl w:val="0"/>
          <w:numId w:val="2"/>
        </w:numPr>
        <w:spacing w:after="70" w:line="270"/>
      </w:pPr>
      <w:r>
        <w:t xml:space="preserve">Sacred: EB Garamond. Italic for devotional lines. The Rule tab is set entirely in it.</w:t>
      </w:r>
    </w:p>
    <w:p>
      <w:pPr>
        <w:pStyle w:val="ListParagraph"/>
        <w:numPr>
          <w:ilvl w:val="0"/>
          <w:numId w:val="2"/>
        </w:numPr>
        <w:spacing w:after="70" w:line="270"/>
      </w:pPr>
      <w:r>
        <w:t xml:space="preserve">One label system app-wide: section labels are ~7.5–8px equivalent, letterspaced 0.14em, semibold, warm gray, ALL CAPS (FASTING, BREAKFAST, WEIGHT · 30 DAYS). This is the wayfinding; it never varies.</w:t>
      </w:r>
    </w:p>
    <w:p>
      <w:pPr>
        <w:pStyle w:val="ListParagraph"/>
        <w:numPr>
          <w:ilvl w:val="0"/>
          <w:numId w:val="2"/>
        </w:numPr>
        <w:spacing w:after="70" w:line="270"/>
      </w:pPr>
      <w:r>
        <w:t xml:space="preserve">Affordances are quiet: single words (“Exemptions”, “Add”, “Calendar”) in the accent color, or on the Rule tab, underlined oxblood serif italics (“Continue reading”). No chevron trails, no pill buttons, no “tap ›” cheer.</w:t>
      </w:r>
    </w:p>
    <w:p>
      <w:pPr>
        <w:pBdr>
          <w:bottom w:val="single" w:color="C9BFA8" w:sz="6" w:space="1"/>
        </w:pBdr>
        <w:spacing w:after="160" w:before="60"/>
      </w:pPr>
      <w:r>
        <w:t xml:space="preserve"/>
      </w:r>
    </w:p>
    <w:p>
      <w:pPr>
        <w:pStyle w:val="Heading1"/>
      </w:pPr>
      <w:r>
        <w:t xml:space="preserve">2. The layout language (all data tabs)</w:t>
      </w:r>
    </w:p>
    <w:p>
      <w:pPr>
        <w:pStyle w:val="ListParagraph"/>
        <w:numPr>
          <w:ilvl w:val="0"/>
          <w:numId w:val="2"/>
        </w:numPr>
        <w:spacing w:after="70" w:line="270"/>
      </w:pPr>
      <w:r>
        <w:t xml:space="preserve">Continuous white surface; sections divided by full-width 1px hairlines; 16px side gutters held rigidly.</w:t>
      </w:r>
    </w:p>
    <w:p>
      <w:pPr>
        <w:pStyle w:val="ListParagraph"/>
        <w:numPr>
          <w:ilvl w:val="0"/>
          <w:numId w:val="2"/>
        </w:numPr>
        <w:spacing w:after="70" w:line="270"/>
      </w:pPr>
      <w:r>
        <w:t xml:space="preserve">Values right-align to one hard edge down the whole screen.</w:t>
      </w:r>
    </w:p>
    <w:p>
      <w:pPr>
        <w:pStyle w:val="ListParagraph"/>
        <w:numPr>
          <w:ilvl w:val="0"/>
          <w:numId w:val="2"/>
        </w:numPr>
        <w:spacing w:after="70" w:line="270"/>
      </w:pPr>
      <w:r>
        <w:t xml:space="preserve">Macro bars: single-baseline rows (label left, numbers right) with a 2.5–3px hairline-thin fill bar beneath, in the macro’s color over a pale tint of itself. Fill length = progress. No thick bars, no rings.</w:t>
      </w:r>
    </w:p>
    <w:p>
      <w:pPr>
        <w:pStyle w:val="ListParagraph"/>
        <w:numPr>
          <w:ilvl w:val="0"/>
          <w:numId w:val="2"/>
        </w:numPr>
        <w:spacing w:after="70" w:line="270"/>
      </w:pPr>
      <w:r>
        <w:t xml:space="preserve">Corner radii minimal on data tabs; squared edges on the Rule tab. No shadows anywhere.</w:t>
      </w:r>
    </w:p>
    <w:p>
      <w:pPr>
        <w:pStyle w:val="ListParagraph"/>
        <w:numPr>
          <w:ilvl w:val="0"/>
          <w:numId w:val="2"/>
        </w:numPr>
        <w:spacing w:after="70" w:line="270"/>
      </w:pPr>
      <w:r>
        <w:t xml:space="preserve">Every chart carries axes: y-axis values, x-axis time labels, gridlines, and a goal reference line where a goal exists. A line with no axis is banned. Weight charts: thin (≈1.2–1.5px) trend line over faint daily dots, y-axis zoomed to the data range, today’s reading marked with a filled dot.</w:t>
      </w:r>
    </w:p>
    <w:p>
      <w:pPr>
        <w:pStyle w:val="ListParagraph"/>
        <w:numPr>
          <w:ilvl w:val="0"/>
          <w:numId w:val="2"/>
        </w:numPr>
        <w:spacing w:after="70" w:line="270"/>
      </w:pPr>
      <w:r>
        <w:t xml:space="preserve">Chart styles by purpose: thin-line-with-dots for weight; thin multi-line (one color per macro) with dashed goal line for macro trends; the green/coral adherence grid (with legend) for fast-day keeping across the liturgical year. No gradient-bar “PowerBI” charts, no aggressive curve smoothing — lines follow the data with only gentle softening.</w:t>
      </w:r>
    </w:p>
    <w:p>
      <w:pPr>
        <w:pBdr>
          <w:bottom w:val="single" w:color="C9BFA8" w:sz="6" w:space="1"/>
        </w:pBdr>
        <w:spacing w:after="160" w:before="60"/>
      </w:pPr>
      <w:r>
        <w:t xml:space="preserve"/>
      </w:r>
    </w:p>
    <w:p>
      <w:pPr>
        <w:pStyle w:val="Heading1"/>
      </w:pPr>
      <w:r>
        <w:t xml:space="preserve">3. Per-tab specification</w:t>
      </w:r>
    </w:p>
    <w:p>
      <w:pPr>
        <w:pStyle w:val="Heading2"/>
      </w:pPr>
      <w:r>
        <w:t xml:space="preserve">3.1 Home — the glance</w:t>
      </w:r>
    </w:p>
    <w:p>
      <w:pPr>
        <w:pStyle w:val="ListParagraph"/>
        <w:numPr>
          <w:ilvl w:val="0"/>
          <w:numId w:val="2"/>
        </w:numPr>
        <w:spacing w:after="70" w:line="270"/>
      </w:pPr>
      <w:r>
        <w:t xml:space="preserve">Header: liturgical info left (tracked caps day/season; date large; the day’s character in oxblood serif italic, e.g. “a day of abstinence”), account avatar right. This header is a keep — do not redesign it.</w:t>
      </w:r>
    </w:p>
    <w:p>
      <w:pPr>
        <w:pStyle w:val="ListParagraph"/>
        <w:numPr>
          <w:ilvl w:val="0"/>
          <w:numId w:val="2"/>
        </w:numPr>
        <w:spacing w:after="70" w:line="270"/>
      </w:pPr>
      <w:r>
        <w:t xml:space="preserve">Then, as flush sections top to bottom: calories + slim three-macro bars; a two-up Fasting / Training split divided by a vertical rule; the detailed weight sparkline (dots, axis values, range labels, today-dot); Suggested · Meatless — three meal rows, each tappable to recipe detail, each showing protein; the serif offering line.</w:t>
      </w:r>
    </w:p>
    <w:p>
      <w:pPr>
        <w:pStyle w:val="ListParagraph"/>
        <w:numPr>
          <w:ilvl w:val="0"/>
          <w:numId w:val="2"/>
        </w:numPr>
        <w:spacing w:after="70" w:line="270"/>
      </w:pPr>
      <w:r>
        <w:t xml:space="preserve">Day-type modulation: the day’s character shifts emphasis (fast day foregrounds the fasting state and meatless picks; feast day softens tracking emphasis; training day foregrounds the split/log). States still to be designed — build the sections as swappable in priority.</w:t>
      </w:r>
    </w:p>
    <w:p>
      <w:pPr>
        <w:pStyle w:val="ListParagraph"/>
        <w:numPr>
          <w:ilvl w:val="0"/>
          <w:numId w:val="2"/>
        </w:numPr>
        <w:spacing w:after="70" w:line="270"/>
      </w:pPr>
      <w:r>
        <w:t xml:space="preserve">Training tile shows the user’s own day name (see §5 — splits are user-defined).</w:t>
      </w:r>
    </w:p>
    <w:p>
      <w:pPr>
        <w:pStyle w:val="Heading2"/>
      </w:pPr>
      <w:r>
        <w:t xml:space="preserve">3.2 Fasting — the crown jewel</w:t>
      </w:r>
    </w:p>
    <w:p>
      <w:pPr>
        <w:pStyle w:val="ListParagraph"/>
        <w:numPr>
          <w:ilvl w:val="0"/>
          <w:numId w:val="2"/>
        </w:numPr>
        <w:spacing w:after="70" w:line="270"/>
      </w:pPr>
      <w:r>
        <w:t xml:space="preserve">Today-first (layout “A” won the comparison). Order: title row with discipline label (“ROMAN · 1962”, tappable); the dark obligation hero — the one dominant element — with the day, the obligation at display size, and the gold line “Bound by the Church this day”; WHAT TODAY ALLOWS (collations, meatless scope, water/medicine — see the canonical note below); the exemptions row (“This may not bind you” + populations + “Exemptions” link — one tap, no justification asked); the amber-ruled training-collision band (appears only when a hard session meets a fast day); YOUR OWN COMMITMENTS (plain rows, serif-italic intentions, visually subordinate — never the hero’s weight); THE WEEK AHEAD as bordered calendar cells (feast amber-tinted, fast/ember oxblood-tinted); closing serif offering line.</w:t>
      </w:r>
    </w:p>
    <w:p>
      <w:pPr>
        <w:pStyle w:val="ListParagraph"/>
        <w:numPr>
          <w:ilvl w:val="0"/>
          <w:numId w:val="2"/>
        </w:numPr>
        <w:spacing w:after="70" w:line="270"/>
      </w:pPr>
      <w:r>
        <w:t xml:space="preserve">No food suggestions on this tab — explicitly cut. The Fasting tab is about the rule and the day; meals live on Home and Food.</w:t>
      </w:r>
    </w:p>
    <w:p>
      <w:pPr>
        <w:pStyle w:val="ListParagraph"/>
        <w:numPr>
          <w:ilvl w:val="0"/>
          <w:numId w:val="2"/>
        </w:numPr>
        <w:spacing w:after="70" w:line="270"/>
      </w:pPr>
      <w:r>
        <w:rPr>
          <w:b/>
          <w:bCs/>
        </w:rPr>
        <w:t xml:space="preserve">Canonical placeholder: </w:t>
      </w:r>
      <w:r>
        <w:t xml:space="preserve">the “Water and medicine never break the fast” line is design-final but wording-pending — it ships only after the priest confirms the §1.1 record in the fasting content pack. Build the slot; take the text from the confirmed corpus.</w:t>
      </w:r>
    </w:p>
    <w:p>
      <w:pPr>
        <w:pStyle w:val="ListParagraph"/>
        <w:numPr>
          <w:ilvl w:val="0"/>
          <w:numId w:val="2"/>
        </w:numPr>
        <w:spacing w:after="70" w:line="270"/>
      </w:pPr>
      <w:r>
        <w:rPr>
          <w:b/>
          <w:bCs/>
        </w:rPr>
        <w:t xml:space="preserve">Wellbeing invariant (highest priority on this screen): </w:t>
      </w:r>
      <w:r>
        <w:t xml:space="preserve">the Church’s obligation and the user’s own commitments must remain unmistakably distinct — dark hero + gold binding line for the precept; quiet gray rows for the chosen. No state, copy, or notification may blur them.</w:t>
      </w:r>
    </w:p>
    <w:p>
      <w:pPr>
        <w:pStyle w:val="Heading2"/>
      </w:pPr>
      <w:r>
        <w:t xml:space="preserve">3.3 Macros — the ledger</w:t>
      </w:r>
    </w:p>
    <w:p>
      <w:pPr>
        <w:pStyle w:val="ListParagraph"/>
        <w:numPr>
          <w:ilvl w:val="0"/>
          <w:numId w:val="2"/>
        </w:numPr>
        <w:spacing w:after="70" w:line="270"/>
      </w:pPr>
      <w:r>
        <w:t xml:space="preserve">Underlined-tab toggle: Today / Trends (not an iOS segmented pill).</w:t>
      </w:r>
    </w:p>
    <w:p>
      <w:pPr>
        <w:pStyle w:val="ListParagraph"/>
        <w:numPr>
          <w:ilvl w:val="0"/>
          <w:numId w:val="2"/>
        </w:numPr>
        <w:spacing w:after="70" w:line="270"/>
      </w:pPr>
      <w:r>
        <w:t xml:space="preserve">Today: kcal-remaining as the lead numeral; the four slim macro bars (protein, carbs — plural, always — fat, fiber); then the diary as meal sections (tracked-caps header + kcal) with food rows showing per-item P·C·F; the pinned dark “Add food” bar at the bottom.</w:t>
      </w:r>
    </w:p>
    <w:p>
      <w:pPr>
        <w:pStyle w:val="ListParagraph"/>
        <w:numPr>
          <w:ilvl w:val="0"/>
          <w:numId w:val="2"/>
        </w:numPr>
        <w:spacing w:after="70" w:line="270"/>
      </w:pPr>
      <w:r>
        <w:t xml:space="preserve">Trends: time-range selector; the weight chart, macro multi-line chart (with dashed goal line), and the fast-day adherence grid — all per the chart rules in §2. The adherence grid is the signature Kanon chart; it reports, it never scores or streaks.</w:t>
      </w:r>
    </w:p>
    <w:p>
      <w:pPr>
        <w:pStyle w:val="Heading2"/>
      </w:pPr>
      <w:r>
        <w:t xml:space="preserve">3.4 Food — the browse</w:t>
      </w:r>
    </w:p>
    <w:p>
      <w:pPr>
        <w:pStyle w:val="ListParagraph"/>
        <w:numPr>
          <w:ilvl w:val="0"/>
          <w:numId w:val="2"/>
        </w:numPr>
        <w:spacing w:after="70" w:line="270"/>
      </w:pPr>
      <w:r>
        <w:t xml:space="preserve">Search bar + filter entry; results as a two-column visual recipe grid (photo, title, protein, effort level · time), every card tappable to recipe detail.</w:t>
      </w:r>
    </w:p>
    <w:p>
      <w:pPr>
        <w:pStyle w:val="ListParagraph"/>
        <w:numPr>
          <w:ilvl w:val="0"/>
          <w:numId w:val="2"/>
        </w:numPr>
        <w:spacing w:after="70" w:line="270"/>
      </w:pPr>
      <w:r>
        <w:t xml:space="preserve">Faceted, stackable tag filters grouped by category — Fast rule / Effort / Goal &amp; context / Tradition — drawing on the database’s existing tags. The fast-rule facet pre-selects from the day’s obligation (Meatless on a Lenten Friday).</w:t>
      </w:r>
    </w:p>
    <w:p>
      <w:pPr>
        <w:pStyle w:val="ListParagraph"/>
        <w:numPr>
          <w:ilvl w:val="0"/>
          <w:numId w:val="2"/>
        </w:numPr>
        <w:spacing w:after="70" w:line="270"/>
      </w:pPr>
      <w:r>
        <w:rPr>
          <w:b/>
          <w:bCs/>
        </w:rPr>
        <w:t xml:space="preserve">Open item: </w:t>
      </w:r>
      <w:r>
        <w:t xml:space="preserve">the facet groups should be collapsible and carry the category color treatment — direction agreed, final layout not yet rendered. Also apply the §2 slimming pass (this tab was built before it).</w:t>
      </w:r>
    </w:p>
    <w:p>
      <w:pPr>
        <w:pStyle w:val="Heading2"/>
      </w:pPr>
      <w:r>
        <w:t xml:space="preserve">3.5 Rule — the page</w:t>
      </w:r>
    </w:p>
    <w:p>
      <w:pPr>
        <w:pStyle w:val="ListParagraph"/>
        <w:numPr>
          <w:ilvl w:val="0"/>
          <w:numId w:val="2"/>
        </w:numPr>
        <w:spacing w:after="70" w:line="270"/>
      </w:pPr>
      <w:r>
        <w:t xml:space="preserve">Full editorial register, set like a devotional page: navy masthead (liturgical day in wide-tracked caps; “The Rule” at display size; gold cross-and-rule ornament; saint’s name in gold small caps); the day’s quote under an oversized quotation mark with the citation in old-style caps (COLOSSIANS III·23); THE READING with an oxblood drop cap, justified serif body, and a folio marker (“i of iii”); OFFERED THIS DAY centered in serif italic; THE JOURNAL against a gold rule with the date in Roman numerals. Action links are underlined oxblood serif italics, right-aligned like rubrics.</w:t>
      </w:r>
    </w:p>
    <w:p>
      <w:pPr>
        <w:pStyle w:val="ListParagraph"/>
        <w:numPr>
          <w:ilvl w:val="0"/>
          <w:numId w:val="2"/>
        </w:numPr>
        <w:spacing w:after="70" w:line="270"/>
      </w:pPr>
      <w:r>
        <w:t xml:space="preserve">Bans on this tab: no icons in content, no counters or totals (no “offered 14 days”), no pills, no progress mechanics of any kind. Gravity comes from type. This is the wellbeing no-gamification line expressed as design law.</w:t>
      </w:r>
    </w:p>
    <w:p>
      <w:pPr>
        <w:pStyle w:val="ListParagraph"/>
        <w:numPr>
          <w:ilvl w:val="0"/>
          <w:numId w:val="2"/>
        </w:numPr>
        <w:spacing w:after="70" w:line="270"/>
      </w:pPr>
      <w:r>
        <w:t xml:space="preserve">Content source: everything on this page comes verbatim from the verified patron catalog (quotes, the three readings per saint, offering lines, the shared intentions, feast notes). Nothing generated, nothing unsourced. Feast days replace the page with the feast note.</w:t>
      </w:r>
    </w:p>
    <w:p>
      <w:pPr>
        <w:pStyle w:val="ListParagraph"/>
        <w:numPr>
          <w:ilvl w:val="0"/>
          <w:numId w:val="2"/>
        </w:numPr>
        <w:spacing w:after="70" w:line="270"/>
      </w:pPr>
      <w:r>
        <w:t xml:space="preserve">This tab depends on real EB Garamond with true small caps and proper optical sizes — budget font licensing and rendering QA.</w:t>
      </w:r>
    </w:p>
    <w:p>
      <w:pPr>
        <w:pStyle w:val="Heading2"/>
      </w:pPr>
      <w:r>
        <w:t xml:space="preserve">3.6 Settings</w:t>
      </w:r>
    </w:p>
    <w:p>
      <w:pPr>
        <w:pStyle w:val="ListParagraph"/>
        <w:numPr>
          <w:ilvl w:val="0"/>
          <w:numId w:val="2"/>
        </w:numPr>
        <w:spacing w:after="70" w:line="270"/>
      </w:pPr>
      <w:r>
        <w:t xml:space="preserve">Plain grouped list in the label system: TRADITION (discipline, country norms, companion), TRAINING (the user’s split — see §5), NUTRITION (targets, food filters), GENERAL (units, notifications).</w:t>
      </w:r>
    </w:p>
    <w:p>
      <w:pPr>
        <w:pStyle w:val="ListParagraph"/>
        <w:numPr>
          <w:ilvl w:val="0"/>
          <w:numId w:val="2"/>
        </w:numPr>
        <w:spacing w:after="70" w:line="270"/>
      </w:pPr>
      <w:r>
        <w:t xml:space="preserve">At the bottom, a quietly tinted LAMPSTAND section: “Introibo — Mass &amp; Divine Office, fully offline — from the makers of Kanon” with an outbound link. Footer register; the first, deliberately minimal thread of studio integration.</w:t>
      </w:r>
    </w:p>
    <w:p>
      <w:pPr>
        <w:pBdr>
          <w:bottom w:val="single" w:color="C9BFA8" w:sz="6" w:space="1"/>
        </w:pBdr>
        <w:spacing w:after="160" w:before="60"/>
      </w:pPr>
      <w:r>
        <w:t xml:space="preserve"/>
      </w:r>
    </w:p>
    <w:p>
      <w:pPr>
        <w:pStyle w:val="Heading1"/>
      </w:pPr>
      <w:r>
        <w:t xml:space="preserve">4. The three food-filter layers</w:t>
      </w:r>
    </w:p>
    <w:p>
      <w:pPr>
        <w:spacing w:after="120" w:line="276"/>
      </w:pPr>
      <w:r>
        <w:t xml:space="preserve">Three distinct exclusion systems share one matching engine but must never share a visual treatment, because their stakes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Layer</w:t>
            </w:r>
          </w:p>
        </w:tc>
        <w:tc>
          <w:tcPr>
            <w:tcW w:type="dxa" w:w="38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Nature</w:t>
            </w:r>
          </w:p>
        </w:tc>
        <w:tc>
          <w:tcPr>
            <w:tcW w:type="dxa" w:w="33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Treatment</w:t>
            </w:r>
          </w:p>
        </w:tc>
      </w:tr>
      <w:tr>
        <w:trPr>
          <w:tblHeader w:val="false"/>
        </w:trPr>
        <w:tc>
          <w:tcPr>
            <w:tcW w:type="dxa" w:w="22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Allergies</w:t>
            </w:r>
          </w:p>
        </w:tc>
        <w:tc>
          <w:tcPr>
            <w:tcW w:type="dxa" w:w="38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Safety. Hard filter, absolute, no override.</w:t>
            </w:r>
          </w:p>
        </w:tc>
        <w:tc>
          <w:tcPr>
            <w:tcW w:type="dxa" w:w="33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Oxblood, warning-weight, locked feel</w:t>
            </w:r>
          </w:p>
        </w:tc>
      </w:tr>
      <w:tr>
        <w:trPr>
          <w:tblHeader w:val="false"/>
        </w:trPr>
        <w:tc>
          <w:tcPr>
            <w:tcW w:type="dxa" w:w="22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Fast &amp; abstinence</w:t>
            </w:r>
          </w:p>
        </w:tc>
        <w:tc>
          <w:tcPr>
            <w:tcW w:type="dxa" w:w="38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Church’s calendar + the user’s rule. Automatic.</w:t>
            </w:r>
          </w:p>
        </w:tc>
        <w:tc>
          <w:tcPr>
            <w:tcW w:type="dxa" w:w="33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Set by the engine; shown, not managed</w:t>
            </w:r>
          </w:p>
        </w:tc>
      </w:tr>
      <w:tr>
        <w:trPr>
          <w:tblHeader w:val="false"/>
        </w:trPr>
        <w:tc>
          <w:tcPr>
            <w:tcW w:type="dxa" w:w="22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Never-eat &amp; dislikes</w:t>
            </w:r>
          </w:p>
        </w:tc>
        <w:tc>
          <w:tcPr>
            <w:tcW w:type="dxa" w:w="38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Preference. Hard filter, but casual.</w:t>
            </w:r>
          </w:p>
        </w:tc>
        <w:tc>
          <w:tcPr>
            <w:tcW w:type="dxa" w:w="33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Neutral gray, easy to add and relax</w:t>
            </w:r>
          </w:p>
        </w:tc>
      </w:tr>
    </w:tbl>
    <w:p>
      <w:pPr>
        <w:spacing w:after="40"/>
      </w:pPr>
      <w:r>
        <w:t xml:space="preserve"/>
      </w:r>
    </w:p>
    <w:p>
      <w:pPr>
        <w:spacing w:after="120" w:line="276"/>
      </w:pPr>
      <w:r>
        <w:t xml:space="preserve">Collapsing these into one list would flatten exactly the distinctions that matter. A user relaxing a dislike must never wade through allergy-weight friction; an allergy must never feel casually toggleable.</w:t>
      </w:r>
    </w:p>
    <w:p>
      <w:pPr>
        <w:pBdr>
          <w:bottom w:val="single" w:color="C9BFA8" w:sz="6" w:space="1"/>
        </w:pBdr>
        <w:spacing w:after="160" w:before="60"/>
      </w:pPr>
      <w:r>
        <w:t xml:space="preserve"/>
      </w:r>
    </w:p>
    <w:p>
      <w:pPr>
        <w:pStyle w:val="Heading1"/>
      </w:pPr>
      <w:r>
        <w:t xml:space="preserve">5. Product decisions bound into the design</w:t>
      </w:r>
    </w:p>
    <w:p>
      <w:pPr>
        <w:pStyle w:val="ListParagraph"/>
        <w:numPr>
          <w:ilvl w:val="0"/>
          <w:numId w:val="2"/>
        </w:numPr>
        <w:spacing w:after="70" w:line="270"/>
      </w:pPr>
      <w:r>
        <w:rPr>
          <w:b/>
          <w:bCs/>
        </w:rPr>
        <w:t xml:space="preserve">Training splits are user-defined. </w:t>
      </w:r>
      <w:r>
        <w:t xml:space="preserve">The data model is a user-named list of day labels the calendar cycles through (PPL, upper/lower, full body, 5/3/1, or anything the user types). No hard-coded taxonomy anywhere — UI, notifications, or engine. Home shows the user’s own day name.</w:t>
      </w:r>
    </w:p>
    <w:p>
      <w:pPr>
        <w:pStyle w:val="ListParagraph"/>
        <w:numPr>
          <w:ilvl w:val="0"/>
          <w:numId w:val="2"/>
        </w:numPr>
        <w:spacing w:after="70" w:line="270"/>
      </w:pPr>
      <w:r>
        <w:rPr>
          <w:b/>
          <w:bCs/>
        </w:rPr>
        <w:t xml:space="preserve">Every named dish is a tap target. </w:t>
      </w:r>
      <w:r>
        <w:t xml:space="preserve">Anywhere a meal or recipe is named (Home suggestions, Food grid, diary entries), it opens the recipe detail (macros, ingredients, steps, fast/allergen tags).</w:t>
      </w:r>
    </w:p>
    <w:p>
      <w:pPr>
        <w:pStyle w:val="ListParagraph"/>
        <w:numPr>
          <w:ilvl w:val="0"/>
          <w:numId w:val="2"/>
        </w:numPr>
        <w:spacing w:after="70" w:line="270"/>
      </w:pPr>
      <w:r>
        <w:rPr>
          <w:b/>
          <w:bCs/>
        </w:rPr>
        <w:t xml:space="preserve">“Carbs,” never “Carb.” </w:t>
      </w:r>
      <w:r>
        <w:t xml:space="preserve">Locked copy standard, everywhere.</w:t>
      </w:r>
    </w:p>
    <w:p>
      <w:pPr>
        <w:pStyle w:val="ListParagraph"/>
        <w:numPr>
          <w:ilvl w:val="0"/>
          <w:numId w:val="2"/>
        </w:numPr>
        <w:spacing w:after="70" w:line="270"/>
      </w:pPr>
      <w:r>
        <w:rPr>
          <w:b/>
          <w:bCs/>
        </w:rPr>
        <w:t xml:space="preserve">The fasting engine surfaces in exactly three functional places </w:t>
      </w:r>
      <w:r>
        <w:t xml:space="preserve">on the daily loop: the day’s character line (header), the meatless pre-filter on suggestions and Food, and the training-collision warning. That, plus the week strip, is the faith-as-capability principle in practice.</w:t>
      </w:r>
    </w:p>
    <w:p>
      <w:pPr>
        <w:pStyle w:val="ListParagraph"/>
        <w:numPr>
          <w:ilvl w:val="0"/>
          <w:numId w:val="2"/>
        </w:numPr>
        <w:spacing w:after="70" w:line="270"/>
      </w:pPr>
      <w:r>
        <w:rPr>
          <w:b/>
          <w:bCs/>
        </w:rPr>
        <w:t xml:space="preserve">House copy rules hold in-app: </w:t>
      </w:r>
      <w:r>
        <w:t xml:space="preserve">no em-dashes, no emoji, sentence case for UI text.</w:t>
      </w:r>
    </w:p>
    <w:p>
      <w:pPr>
        <w:pBdr>
          <w:bottom w:val="single" w:color="C9BFA8" w:sz="6" w:space="1"/>
        </w:pBdr>
        <w:spacing w:after="160" w:before="60"/>
      </w:pPr>
      <w:r>
        <w:t xml:space="preserve"/>
      </w:r>
    </w:p>
    <w:p>
      <w:pPr>
        <w:pStyle w:val="Heading1"/>
      </w:pPr>
      <w:r>
        <w:t xml:space="preserve">6. Wellbeing constraints as design law</w:t>
      </w:r>
    </w:p>
    <w:p>
      <w:pPr>
        <w:spacing w:after="120" w:line="276"/>
      </w:pPr>
      <w:r>
        <w:t xml:space="preserve">These come from the product’s cut lines and the fasting content pack; the UI is where they hold or fail.</w:t>
      </w:r>
    </w:p>
    <w:p>
      <w:pPr>
        <w:pStyle w:val="ListParagraph"/>
        <w:numPr>
          <w:ilvl w:val="0"/>
          <w:numId w:val="2"/>
        </w:numPr>
        <w:spacing w:after="70" w:line="270"/>
      </w:pPr>
      <w:r>
        <w:t xml:space="preserve">Obligation vs. free choice: visually and verbally unmistakable everywhere (Fasting hero vs. commitment rows; “The Church asks” vs. “You’ve chosen”).</w:t>
      </w:r>
    </w:p>
    <w:p>
      <w:pPr>
        <w:pStyle w:val="ListParagraph"/>
        <w:numPr>
          <w:ilvl w:val="0"/>
          <w:numId w:val="2"/>
        </w:numPr>
        <w:spacing w:after="70" w:line="270"/>
      </w:pPr>
      <w:r>
        <w:t xml:space="preserve">Exemptions are one tap from any obligation, generously worded, no justification or confirm-gauntlet, never scored or logged against the user.</w:t>
      </w:r>
    </w:p>
    <w:p>
      <w:pPr>
        <w:pStyle w:val="ListParagraph"/>
        <w:numPr>
          <w:ilvl w:val="0"/>
          <w:numId w:val="2"/>
        </w:numPr>
        <w:spacing w:after="70" w:line="270"/>
      </w:pPr>
      <w:r>
        <w:t xml:space="preserve">No streaks, badges, scores, or achievement mechanics anywhere — and categorically none on the Rule tab or anything spiritual. The adherence grid reports history; it never awards.</w:t>
      </w:r>
    </w:p>
    <w:p>
      <w:pPr>
        <w:pStyle w:val="ListParagraph"/>
        <w:numPr>
          <w:ilvl w:val="0"/>
          <w:numId w:val="2"/>
        </w:numPr>
        <w:spacing w:after="70" w:line="270"/>
      </w:pPr>
      <w:r>
        <w:t xml:space="preserve">Setting aside a chosen commitment shows no failure state, no red, no “broke” language.</w:t>
      </w:r>
    </w:p>
    <w:p>
      <w:pPr>
        <w:pStyle w:val="ListParagraph"/>
        <w:numPr>
          <w:ilvl w:val="0"/>
          <w:numId w:val="2"/>
        </w:numPr>
        <w:spacing w:after="70" w:line="270"/>
      </w:pPr>
      <w:r>
        <w:t xml:space="preserve">Nothing frames training through a fast, fasting harder, or eating less as achievement. The collision card counsels easing, never pushing.</w:t>
      </w:r>
    </w:p>
    <w:p>
      <w:pPr>
        <w:pStyle w:val="ListParagraph"/>
        <w:numPr>
          <w:ilvl w:val="0"/>
          <w:numId w:val="2"/>
        </w:numPr>
        <w:spacing w:after="70" w:line="270"/>
      </w:pPr>
      <w:r>
        <w:t xml:space="preserve">The accumulation check (from the fasting pack) surfaces as a gentle, dismissible notice — never a block, never a diagnosis.</w:t>
      </w:r>
    </w:p>
    <w:p>
      <w:pPr>
        <w:pBdr>
          <w:bottom w:val="single" w:color="C9BFA8" w:sz="6" w:space="1"/>
        </w:pBdr>
        <w:spacing w:after="160" w:before="60"/>
      </w:pPr>
      <w:r>
        <w:t xml:space="preserve"/>
      </w:r>
    </w:p>
    <w:p>
      <w:pPr>
        <w:pStyle w:val="Heading1"/>
      </w:pPr>
      <w:r>
        <w:t xml:space="preserve">7. Designed vs. still open</w:t>
      </w:r>
    </w:p>
    <w:p>
      <w:pPr>
        <w:spacing w:after="120" w:line="276"/>
      </w:pPr>
      <w:r>
        <w:t xml:space="preserve">Locked and rendered: Home, Fasting, Macros (both views), Rule, Settings, the food-filters screen, and the design system itself. Direction agreed but not final-rendered: Food’s collapsible colored facets; the §2 slimming pass on Fasting and Macros (both were built one pass before it — apply mechanically). Not yet designed: recipe detail, add-food / logging flow, onboarding (order decided: fitness setup first, tradition and companion after), day-type modulation states for Home, feast-day takeover of Rule, the excused/exemption flow, journal entry view, paywall and tier surfaces, and all motion. Static mockups carry standing caveats: approximate type, no motion — the build should land sharper than the previews.</w:t>
      </w:r>
    </w:p>
    <w:p>
      <w:pPr>
        <w:pBdr>
          <w:bottom w:val="single" w:color="C9BFA8" w:sz="6" w:space="1"/>
        </w:pBdr>
        <w:spacing w:after="160" w:before="60"/>
      </w:pPr>
      <w:r>
        <w:t xml:space="preserve"/>
      </w:r>
    </w:p>
    <w:p>
      <w:pPr>
        <w:pStyle w:val="Heading1"/>
      </w:pPr>
      <w:r>
        <w:t xml:space="preserve">8. QA checklist — the build ships when these clear</w:t>
      </w:r>
    </w:p>
    <w:p>
      <w:pPr>
        <w:pStyle w:val="Heading3"/>
      </w:pPr>
      <w:r>
        <w:t xml:space="preserve">System</w:t>
      </w:r>
    </w:p>
    <w:p>
      <w:pPr>
        <w:spacing w:after="60" w:before="80" w:line="272"/>
        <w:ind w:left="360" w:hanging="360"/>
      </w:pPr>
      <w:r>
        <w:rPr>
          <w:color w:val="1A130C"/>
          <w:sz w:val="26"/>
          <w:szCs w:val="26"/>
        </w:rPr>
        <w:t xml:space="preserve">☐  </w:t>
      </w:r>
      <w:r>
        <w:rPr>
          <w:b/>
          <w:bCs/>
          <w:color w:val="1A130C"/>
        </w:rPr>
        <w:t xml:space="preserve">No cards anywhere.  </w:t>
      </w:r>
      <w:r>
        <w:t xml:space="preserve">Continuous surfaces, hairline dividers, edge-to-edge sections. The only heavy elements are the sanctioned heroes and the Rule masthead.</w:t>
      </w:r>
    </w:p>
    <w:p>
      <w:pPr>
        <w:spacing w:after="60" w:before="80" w:line="272"/>
        <w:ind w:left="360" w:hanging="360"/>
      </w:pPr>
      <w:r>
        <w:rPr>
          <w:color w:val="1A130C"/>
          <w:sz w:val="26"/>
          <w:szCs w:val="26"/>
        </w:rPr>
        <w:t xml:space="preserve">☐  </w:t>
      </w:r>
      <w:r>
        <w:rPr>
          <w:b/>
          <w:bCs/>
          <w:color w:val="1A130C"/>
        </w:rPr>
        <w:t xml:space="preserve">One label system.  </w:t>
      </w:r>
      <w:r>
        <w:t xml:space="preserve">Every section label identical: tracked caps, one size, one gray. Values right-align to one edge per screen.</w:t>
      </w:r>
    </w:p>
    <w:p>
      <w:pPr>
        <w:spacing w:after="60" w:before="80" w:line="272"/>
        <w:ind w:left="360" w:hanging="360"/>
      </w:pPr>
      <w:r>
        <w:rPr>
          <w:color w:val="1A130C"/>
          <w:sz w:val="26"/>
          <w:szCs w:val="26"/>
        </w:rPr>
        <w:t xml:space="preserve">☐  </w:t>
      </w:r>
      <w:r>
        <w:rPr>
          <w:b/>
          <w:bCs/>
          <w:color w:val="1A130C"/>
        </w:rPr>
        <w:t xml:space="preserve">Slim bars.  </w:t>
      </w:r>
      <w:r>
        <w:t xml:space="preserve">Macro bars ≤3px, single-baseline rows; fill length = progress; deep color set on light grounds.</w:t>
      </w:r>
    </w:p>
    <w:p>
      <w:pPr>
        <w:spacing w:after="60" w:before="80" w:line="272"/>
        <w:ind w:left="360" w:hanging="360"/>
      </w:pPr>
      <w:r>
        <w:rPr>
          <w:color w:val="8B1A1A"/>
          <w:sz w:val="26"/>
          <w:szCs w:val="26"/>
        </w:rPr>
        <w:t xml:space="preserve">☐  </w:t>
      </w:r>
      <w:r>
        <w:rPr>
          <w:b/>
          <w:bCs/>
          <w:color w:val="8B1A1A"/>
        </w:rPr>
        <w:t xml:space="preserve">Every chart has axes.  </w:t>
      </w:r>
      <w:r>
        <w:t xml:space="preserve">Y values, x time labels, gridlines, goal reference where a goal exists; thin lines, gentle smoothing only; dots + today-marker on weight.</w:t>
      </w:r>
    </w:p>
    <w:p>
      <w:pPr>
        <w:spacing w:after="60" w:before="80" w:line="272"/>
        <w:ind w:left="360" w:hanging="360"/>
      </w:pPr>
      <w:r>
        <w:rPr>
          <w:color w:val="1A130C"/>
          <w:sz w:val="26"/>
          <w:szCs w:val="26"/>
        </w:rPr>
        <w:t xml:space="preserve">☐  </w:t>
      </w:r>
      <w:r>
        <w:rPr>
          <w:b/>
          <w:bCs/>
          <w:color w:val="1A130C"/>
        </w:rPr>
        <w:t xml:space="preserve">Serif discipline.  </w:t>
      </w:r>
      <w:r>
        <w:t xml:space="preserve">EB Garamond appears only on sacred lines and the Rule tab; nothing sacred is set in the sans.</w:t>
      </w:r>
    </w:p>
    <w:p>
      <w:pPr>
        <w:spacing w:after="60" w:before="80" w:line="272"/>
        <w:ind w:left="360" w:hanging="360"/>
      </w:pPr>
      <w:r>
        <w:rPr>
          <w:color w:val="1A130C"/>
          <w:sz w:val="26"/>
          <w:szCs w:val="26"/>
        </w:rPr>
        <w:t xml:space="preserve">☐  </w:t>
      </w:r>
      <w:r>
        <w:rPr>
          <w:b/>
          <w:bCs/>
          <w:color w:val="1A130C"/>
        </w:rPr>
        <w:t xml:space="preserve">Quiet affordances.  </w:t>
      </w:r>
      <w:r>
        <w:t xml:space="preserve">No chevron trails, pills, or badge chrome; single-word links in accent color; rubric-style links on Rule.</w:t>
      </w:r>
    </w:p>
    <w:p>
      <w:pPr>
        <w:pStyle w:val="Heading3"/>
      </w:pPr>
      <w:r>
        <w:t xml:space="preserve">Per screen</w:t>
      </w:r>
    </w:p>
    <w:p>
      <w:pPr>
        <w:spacing w:after="60" w:before="80" w:line="272"/>
        <w:ind w:left="360" w:hanging="360"/>
      </w:pPr>
      <w:r>
        <w:rPr>
          <w:color w:val="1A130C"/>
          <w:sz w:val="26"/>
          <w:szCs w:val="26"/>
        </w:rPr>
        <w:t xml:space="preserve">☐  </w:t>
      </w:r>
      <w:r>
        <w:rPr>
          <w:b/>
          <w:bCs/>
          <w:color w:val="1A130C"/>
        </w:rPr>
        <w:t xml:space="preserve">Home keeps the approved header.  </w:t>
      </w:r>
      <w:r>
        <w:t xml:space="preserve">Liturgical left, avatar right, oxblood serif day-character line. Meal rows tappable. Training tile shows the user’s own day name.</w:t>
      </w:r>
    </w:p>
    <w:p>
      <w:pPr>
        <w:spacing w:after="60" w:before="80" w:line="272"/>
        <w:ind w:left="360" w:hanging="360"/>
      </w:pPr>
      <w:r>
        <w:rPr>
          <w:color w:val="8B1A1A"/>
          <w:sz w:val="26"/>
          <w:szCs w:val="26"/>
        </w:rPr>
        <w:t xml:space="preserve">☐  </w:t>
      </w:r>
      <w:r>
        <w:rPr>
          <w:b/>
          <w:bCs/>
          <w:color w:val="8B1A1A"/>
        </w:rPr>
        <w:t xml:space="preserve">Fasting hierarchy holds.  </w:t>
      </w:r>
      <w:r>
        <w:t xml:space="preserve">Obligation hero dominant with the binding line; commitments subordinate and gray; exemptions one tap; no food suggestions on the tab; water/medicine copy taken from the priest-confirmed corpus only.</w:t>
      </w:r>
    </w:p>
    <w:p>
      <w:pPr>
        <w:spacing w:after="60" w:before="80" w:line="272"/>
        <w:ind w:left="360" w:hanging="360"/>
      </w:pPr>
      <w:r>
        <w:rPr>
          <w:color w:val="1A130C"/>
          <w:sz w:val="26"/>
          <w:szCs w:val="26"/>
        </w:rPr>
        <w:t xml:space="preserve">☐  </w:t>
      </w:r>
      <w:r>
        <w:rPr>
          <w:b/>
          <w:bCs/>
          <w:color w:val="1A130C"/>
        </w:rPr>
        <w:t xml:space="preserve">Macros ledger + trends correct.  </w:t>
      </w:r>
      <w:r>
        <w:t xml:space="preserve">“Carbs” plural; fiber included; per-item P·C·F; pinned add-food; adherence grid has a legend and no scoring language.</w:t>
      </w:r>
    </w:p>
    <w:p>
      <w:pPr>
        <w:spacing w:after="60" w:before="80" w:line="272"/>
        <w:ind w:left="360" w:hanging="360"/>
      </w:pPr>
      <w:r>
        <w:rPr>
          <w:color w:val="8B1A1A"/>
          <w:sz w:val="26"/>
          <w:szCs w:val="26"/>
        </w:rPr>
        <w:t xml:space="preserve">☐  </w:t>
      </w:r>
      <w:r>
        <w:rPr>
          <w:b/>
          <w:bCs/>
          <w:color w:val="8B1A1A"/>
        </w:rPr>
        <w:t xml:space="preserve">Rule tab carries zero mechanics.  </w:t>
      </w:r>
      <w:r>
        <w:t xml:space="preserve">No icons, counters, pills, or progress anywhere on it; all content traceable to the verified patron catalog; real EB Garamond with true small caps.</w:t>
      </w:r>
    </w:p>
    <w:p>
      <w:pPr>
        <w:spacing w:after="60" w:before="80" w:line="272"/>
        <w:ind w:left="360" w:hanging="360"/>
      </w:pPr>
      <w:r>
        <w:rPr>
          <w:color w:val="1A130C"/>
          <w:sz w:val="26"/>
          <w:szCs w:val="26"/>
        </w:rPr>
        <w:t xml:space="preserve">☐  </w:t>
      </w:r>
      <w:r>
        <w:rPr>
          <w:b/>
          <w:bCs/>
          <w:color w:val="1A130C"/>
        </w:rPr>
        <w:t xml:space="preserve">Food facets collapsible and colored.  </w:t>
      </w:r>
      <w:r>
        <w:t xml:space="preserve">Stackable category groups; fast-rule facet auto-set from the day’s obligation; grid cards tappable.</w:t>
      </w:r>
    </w:p>
    <w:p>
      <w:pPr>
        <w:spacing w:after="60" w:before="80" w:line="272"/>
        <w:ind w:left="360" w:hanging="360"/>
      </w:pPr>
      <w:r>
        <w:rPr>
          <w:color w:val="1A130C"/>
          <w:sz w:val="26"/>
          <w:szCs w:val="26"/>
        </w:rPr>
        <w:t xml:space="preserve">☐  </w:t>
      </w:r>
      <w:r>
        <w:rPr>
          <w:b/>
          <w:bCs/>
          <w:color w:val="1A130C"/>
        </w:rPr>
        <w:t xml:space="preserve">Settings ends with the Lampstand section.  </w:t>
      </w:r>
      <w:r>
        <w:t xml:space="preserve">Introibo link present, footer-register, outbound.</w:t>
      </w:r>
    </w:p>
    <w:p>
      <w:pPr>
        <w:pStyle w:val="Heading3"/>
      </w:pPr>
      <w:r>
        <w:t xml:space="preserve">Wellbeing (design law)</w:t>
      </w:r>
    </w:p>
    <w:p>
      <w:pPr>
        <w:spacing w:after="60" w:before="80" w:line="272"/>
        <w:ind w:left="360" w:hanging="360"/>
      </w:pPr>
      <w:r>
        <w:rPr>
          <w:color w:val="8B1A1A"/>
          <w:sz w:val="26"/>
          <w:szCs w:val="26"/>
        </w:rPr>
        <w:t xml:space="preserve">☐  </w:t>
      </w:r>
      <w:r>
        <w:rPr>
          <w:b/>
          <w:bCs/>
          <w:color w:val="8B1A1A"/>
        </w:rPr>
        <w:t xml:space="preserve">Obligation vs. chosen never blurs.  </w:t>
      </w:r>
      <w:r>
        <w:t xml:space="preserve">Audit every state, notification, and copy string against §6.</w:t>
      </w:r>
    </w:p>
    <w:p>
      <w:pPr>
        <w:spacing w:after="60" w:before="80" w:line="272"/>
        <w:ind w:left="360" w:hanging="360"/>
      </w:pPr>
      <w:r>
        <w:rPr>
          <w:color w:val="8B1A1A"/>
          <w:sz w:val="26"/>
          <w:szCs w:val="26"/>
        </w:rPr>
        <w:t xml:space="preserve">☐  </w:t>
      </w:r>
      <w:r>
        <w:rPr>
          <w:b/>
          <w:bCs/>
          <w:color w:val="8B1A1A"/>
        </w:rPr>
        <w:t xml:space="preserve">No gamification anywhere.  </w:t>
      </w:r>
      <w:r>
        <w:t xml:space="preserve">No streaks, badges, scores, or severity-as-achievement framing in any surface, mechanic, or notification.</w:t>
      </w:r>
    </w:p>
    <w:p>
      <w:pPr>
        <w:spacing w:after="60" w:before="80" w:line="272"/>
        <w:ind w:left="360" w:hanging="360"/>
      </w:pPr>
      <w:r>
        <w:rPr>
          <w:color w:val="1A130C"/>
          <w:sz w:val="26"/>
          <w:szCs w:val="26"/>
        </w:rPr>
        <w:t xml:space="preserve">☐  </w:t>
      </w:r>
      <w:r>
        <w:rPr>
          <w:b/>
          <w:bCs/>
          <w:color w:val="1A130C"/>
        </w:rPr>
        <w:t xml:space="preserve">Exemptions frictionless.  </w:t>
      </w:r>
      <w:r>
        <w:t xml:space="preserve">One tap, no justification, never counted against the user.</w:t>
      </w:r>
    </w:p>
    <w:p>
      <w:pPr>
        <w:spacing w:after="80"/>
      </w:pPr>
      <w:r>
        <w:t xml:space="preserve"/>
      </w:r>
    </w:p>
    <w:p>
      <w:pPr>
        <w:pBdr>
          <w:left w:val="single" w:color="B8960C" w:sz="18" w:space="14"/>
        </w:pBdr>
        <w:spacing w:after="160" w:before="120" w:line="276"/>
        <w:ind w:left="360"/>
      </w:pPr>
      <w:r>
        <w:rPr>
          <w:i/>
          <w:iCs/>
          <w:color w:val="1A130C"/>
        </w:rPr>
        <w:t xml:space="preserve">If you remember one thing: the data tabs must be good enough that a lifter with no interest in the faith would still choose this app — and the Rule tab must be reverent enough that they'd trust it if they ever opened the door. Hold both, and Kanon is the only app that does.</w:t>
      </w:r>
    </w:p>
    <w:p>
      <w:pPr>
        <w:pBdr>
          <w:bottom w:val="single" w:color="C9BFA8" w:sz="6" w:space="1"/>
        </w:pBdr>
        <w:spacing w:after="160" w:before="60"/>
      </w:pPr>
      <w:r>
        <w:t xml:space="preserve"/>
      </w:r>
    </w:p>
    <w:p>
      <w:pPr>
        <w:pBdr>
          <w:top w:val="single" w:color="C9BFA8" w:sz="6" w:space="6"/>
        </w:pBdr>
        <w:spacing w:before="100"/>
      </w:pPr>
      <w:r>
        <w:rPr>
          <w:i/>
          <w:iCs/>
          <w:color w:val="5F5E5A"/>
          <w:sz w:val="18"/>
          <w:szCs w:val="18"/>
        </w:rPr>
        <w:t xml:space="preserve">Kanon · a Lampstand product · v1 UI design brief · pairs with the patron catalog, fasting content pack, and recipe database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spacing w:after="40"/>
    </w:pPr>
    <w:r>
      <w:rPr>
        <w:color w:val="5F5E5A"/>
        <w:sz w:val="16"/>
        <w:szCs w:val="16"/>
      </w:rPr>
      <w:t xml:space="preserve">KANON — v1 UI 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201A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Playfair Display" w:cs="Playfair Display" w:eastAsia="Playfair Display" w:hAnsi="Playfair Display"/>
      <w:b/>
      <w:bCs/>
      <w:color w:val="1A130C"/>
      <w:sz w:val="30"/>
      <w:szCs w:val="30"/>
    </w:rPr>
  </w:style>
  <w:style w:type="paragraph" w:styleId="Heading2">
    <w:name w:val="Heading 2"/>
    <w:basedOn w:val="Normal"/>
    <w:next w:val="Normal"/>
    <w:qFormat/>
    <w:pPr>
      <w:spacing w:after="110" w:before="220"/>
      <w:outlineLvl w:val="1"/>
    </w:pPr>
    <w:rPr>
      <w:rFonts w:ascii="Playfair Display" w:cs="Playfair Display" w:eastAsia="Playfair Display" w:hAnsi="Playfair Display"/>
      <w:b/>
      <w:bCs/>
      <w:color w:val="8B1A1A"/>
      <w:sz w:val="24"/>
      <w:szCs w:val="24"/>
    </w:rPr>
  </w:style>
  <w:style w:type="paragraph" w:styleId="Heading3">
    <w:name w:val="Heading 3"/>
    <w:basedOn w:val="Normal"/>
    <w:next w:val="Normal"/>
    <w:qFormat/>
    <w:pPr>
      <w:spacing w:after="70" w:before="160"/>
      <w:outlineLvl w:val="2"/>
    </w:pPr>
    <w:rPr>
      <w:rFonts w:ascii="EB Garamond" w:cs="EB Garamond" w:eastAsia="EB Garamond" w:hAnsi="EB Garamond"/>
      <w:b/>
      <w:bCs/>
      <w:color w:val="1A13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Kanon v1 UI Design Brief</dc:title>
  <dc:creator>Lampstand</dc:creator>
  <cp:lastModifiedBy>Un-named</cp:lastModifiedBy>
  <cp:revision>1</cp:revision>
  <dcterms:created xsi:type="dcterms:W3CDTF">2026-07-14T02:58:47.590Z</dcterms:created>
  <dcterms:modified xsi:type="dcterms:W3CDTF">2026-07-14T02:58:47.603Z</dcterms:modified>
</cp:coreProperties>
</file>

<file path=docProps/custom.xml><?xml version="1.0" encoding="utf-8"?>
<Properties xmlns="http://schemas.openxmlformats.org/officeDocument/2006/custom-properties" xmlns:vt="http://schemas.openxmlformats.org/officeDocument/2006/docPropsVTypes"/>
</file>