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4"/>
          <w:szCs w:val="34"/>
        </w:rPr>
        <w:t xml:space="preserve">A Season-Based Investment System</w:t>
      </w:r>
    </w:p>
    <w:p>
      <w:pPr>
        <w:spacing w:after="240"/>
      </w:pPr>
      <w:r>
        <w:rPr>
          <w:rFonts w:ascii="Arial" w:cs="Arial" w:eastAsia="Arial" w:hAnsi="Arial"/>
          <w:b w:val="false"/>
          <w:bCs w:val="false"/>
          <w:i w:val="false"/>
          <w:iCs w:val="false"/>
          <w:color w:val="595959"/>
          <w:sz w:val="20"/>
          <w:szCs w:val="20"/>
        </w:rPr>
        <w:t xml:space="preserve">Plain-English overview of the research, the rules, and the results  ·  October 2026</w:t>
      </w:r>
    </w:p>
    <w:p>
      <w:pPr>
        <w:pStyle w:val="Heading1"/>
        <w:spacing w:after="140" w:before="280"/>
      </w:pPr>
      <w:r>
        <w:rPr>
          <w:rFonts w:ascii="Arial" w:cs="Arial" w:eastAsia="Arial" w:hAnsi="Arial"/>
          <w:b/>
          <w:bCs/>
          <w:color w:val="1F3864"/>
          <w:sz w:val="26"/>
          <w:szCs w:val="26"/>
        </w:rPr>
        <w:t xml:space="preserve">The conclusion, up front</w:t>
      </w:r>
    </w:p>
    <w:p>
      <w:pPr>
        <w:spacing w:after="160"/>
      </w:pPr>
      <w:r>
        <w:rPr>
          <w:rFonts w:ascii="Arial" w:cs="Arial" w:eastAsia="Arial" w:hAnsi="Arial"/>
          <w:b w:val="false"/>
          <w:bCs w:val="false"/>
          <w:i w:val="false"/>
          <w:iCs w:val="false"/>
          <w:color w:val="000000"/>
          <w:sz w:val="21"/>
          <w:szCs w:val="21"/>
        </w:rPr>
        <w:t xml:space="preserve">This is a rules-based way of investing that changes what it owns based on the economic “season” the market is in, checked once a month. It is not stock picking and not day trading — it trades about once a month, following written rules, with no predictions and no gut calls. In nearly twenty years of backtesting (2007–2026), the middle-risk version of the system would have earned about 15% per year while never losing more than about 14% from peak to bottom — a period in which the S&amp;P 500 earned about 11% per year and at one point was down 55%. Higher-risk versions earned more with deeper swings. The same rules were then re-tested on a completely separate twenty-year period (1987–2006) that was never used to design them, and held up. The system went live with real money in September 2026, and every month’s decision is logged in advance in a public record that cannot be edited after the fact — so results are graded honestly, going forward, against a benchmark that cannot be fudged.</w:t>
      </w:r>
    </w:p>
    <w:p>
      <w:pPr>
        <w:spacing w:after="160"/>
      </w:pPr>
      <w:r>
        <w:rPr>
          <w:rFonts w:ascii="Arial" w:cs="Arial" w:eastAsia="Arial" w:hAnsi="Arial"/>
          <w:b w:val="false"/>
          <w:bCs w:val="false"/>
          <w:i/>
          <w:iCs/>
          <w:color w:val="000000"/>
          <w:sz w:val="21"/>
          <w:szCs w:val="21"/>
        </w:rPr>
        <w:t xml:space="preserve">Every number in this document is a backtest — a careful simulation of the past — not a promise about the future. Our own planning assumes real results come in at roughly three-quarters of the backtested figures. The risks are listed plainly on the last page; read them before deciding anything.</w:t>
      </w:r>
    </w:p>
    <w:p>
      <w:pPr>
        <w:pStyle w:val="Heading1"/>
        <w:spacing w:after="140" w:before="280"/>
      </w:pPr>
      <w:r>
        <w:rPr>
          <w:rFonts w:ascii="Arial" w:cs="Arial" w:eastAsia="Arial" w:hAnsi="Arial"/>
          <w:b/>
          <w:bCs/>
          <w:color w:val="1F3864"/>
          <w:sz w:val="26"/>
          <w:szCs w:val="26"/>
        </w:rPr>
        <w:t xml:space="preserve">How it works (methodology)</w:t>
      </w:r>
    </w:p>
    <w:p>
      <w:pPr>
        <w:spacing w:after="160"/>
      </w:pPr>
      <w:r>
        <w:rPr>
          <w:rFonts w:ascii="Arial" w:cs="Arial" w:eastAsia="Arial" w:hAnsi="Arial"/>
          <w:b w:val="false"/>
          <w:bCs w:val="false"/>
          <w:i w:val="false"/>
          <w:iCs w:val="false"/>
          <w:color w:val="000000"/>
          <w:sz w:val="21"/>
          <w:szCs w:val="21"/>
        </w:rPr>
        <w:t xml:space="preserve">The system asks two simple questions on the last day of each month:</w:t>
      </w:r>
    </w:p>
    <w:p>
      <w:pPr>
        <w:pStyle w:val="ListParagraph"/>
        <w:numPr>
          <w:ilvl w:val="0"/>
          <w:numId w:val="2"/>
        </w:numPr>
        <w:spacing w:after="160"/>
      </w:pPr>
      <w:r>
        <w:rPr>
          <w:rFonts w:ascii="Arial" w:cs="Arial" w:eastAsia="Arial" w:hAnsi="Arial"/>
          <w:b w:val="false"/>
          <w:bCs w:val="false"/>
          <w:i w:val="false"/>
          <w:iCs w:val="false"/>
          <w:color w:val="000000"/>
          <w:sz w:val="21"/>
          <w:szCs w:val="21"/>
        </w:rPr>
        <w:t xml:space="preserve">Is the stock market trending up? (Is the S&amp;P 500 above its own 10-month average price?)</w:t>
      </w:r>
    </w:p>
    <w:p>
      <w:pPr>
        <w:pStyle w:val="ListParagraph"/>
        <w:numPr>
          <w:ilvl w:val="0"/>
          <w:numId w:val="2"/>
        </w:numPr>
        <w:spacing w:after="160"/>
      </w:pPr>
      <w:r>
        <w:rPr>
          <w:rFonts w:ascii="Arial" w:cs="Arial" w:eastAsia="Arial" w:hAnsi="Arial"/>
          <w:b w:val="false"/>
          <w:bCs w:val="false"/>
          <w:i w:val="false"/>
          <w:iCs w:val="false"/>
          <w:color w:val="000000"/>
          <w:sz w:val="21"/>
          <w:szCs w:val="21"/>
        </w:rPr>
        <w:t xml:space="preserve">Are commodity prices trending up? (Is a broad basket — oil, metals, crops — above its 10-month average?)</w:t>
      </w:r>
    </w:p>
    <w:p>
      <w:pPr>
        <w:spacing w:after="160"/>
      </w:pPr>
      <w:r>
        <w:rPr>
          <w:rFonts w:ascii="Arial" w:cs="Arial" w:eastAsia="Arial" w:hAnsi="Arial"/>
          <w:b w:val="false"/>
          <w:bCs w:val="false"/>
          <w:i w:val="false"/>
          <w:iCs w:val="false"/>
          <w:color w:val="000000"/>
          <w:sz w:val="21"/>
          <w:szCs w:val="21"/>
        </w:rPr>
        <w:t xml:space="preserve">Two yes/no answers give four possible “seasons,” and each season has a pre-decided shopping list: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5700"/>
      </w:tblGrid>
      <w:tr>
        <w:tc>
          <w:tcPr>
            <w:tcW w:type="dxa" w:w="1300"/>
            <w:shd w:fill="D9E2F3" w:val="clear"/>
            <w:tcMar>
              <w:top w:type="dxa" w:w="60"/>
              <w:left w:type="dxa" w:w="100"/>
              <w:bottom w:type="dxa" w:w="60"/>
              <w:right w:type="dxa" w:w="100"/>
            </w:tcMar>
          </w:tcPr>
          <w:p>
            <w:pPr>
              <w:jc w:val="left"/>
            </w:pPr>
            <w:r>
              <w:rPr>
                <w:rFonts w:ascii="Arial" w:cs="Arial" w:eastAsia="Arial" w:hAnsi="Arial"/>
                <w:b/>
                <w:bCs/>
                <w:sz w:val="19"/>
                <w:szCs w:val="19"/>
              </w:rPr>
              <w:t xml:space="preserve">Season</w:t>
            </w:r>
          </w:p>
        </w:tc>
        <w:tc>
          <w:tcPr>
            <w:tcW w:type="dxa" w:w="2700"/>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What's happening</w:t>
            </w:r>
          </w:p>
        </w:tc>
        <w:tc>
          <w:tcPr>
            <w:tcW w:type="dxa" w:w="5700"/>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What the system owns (middle-risk version)</w:t>
            </w:r>
          </w:p>
        </w:tc>
      </w:tr>
      <w:tr>
        <w:tc>
          <w:tcPr>
            <w:tcW w:type="dxa" w:w="1300"/>
            <w:tcMar>
              <w:top w:type="dxa" w:w="60"/>
              <w:left w:type="dxa" w:w="100"/>
              <w:bottom w:type="dxa" w:w="60"/>
              <w:right w:type="dxa" w:w="100"/>
            </w:tcMar>
          </w:tcPr>
          <w:p>
            <w:pPr>
              <w:jc w:val="left"/>
            </w:pPr>
            <w:r>
              <w:rPr>
                <w:rFonts w:ascii="Arial" w:cs="Arial" w:eastAsia="Arial" w:hAnsi="Arial"/>
                <w:b/>
                <w:bCs/>
                <w:sz w:val="19"/>
                <w:szCs w:val="19"/>
              </w:rPr>
              <w:t xml:space="preserve">Growth</w:t>
            </w:r>
          </w:p>
        </w:tc>
        <w:tc>
          <w:tcPr>
            <w:tcW w:type="dxa" w:w="2700"/>
            <w:tcMar>
              <w:top w:type="dxa" w:w="60"/>
              <w:left w:type="dxa" w:w="100"/>
              <w:bottom w:type="dxa" w:w="60"/>
              <w:right w:type="dxa" w:w="100"/>
            </w:tcMar>
          </w:tcPr>
          <w:p>
            <w:pPr>
              <w:jc w:val="center"/>
            </w:pPr>
            <w:r>
              <w:rPr>
                <w:rFonts w:ascii="Arial" w:cs="Arial" w:eastAsia="Arial" w:hAnsi="Arial"/>
                <w:b w:val="false"/>
                <w:bCs w:val="false"/>
                <w:sz w:val="19"/>
                <w:szCs w:val="19"/>
              </w:rPr>
              <w:t xml:space="preserve">Stocks up, commodities quiet</w:t>
            </w:r>
          </w:p>
        </w:tc>
        <w:tc>
          <w:tcPr>
            <w:tcW w:type="dxa" w:w="5700"/>
            <w:tcMar>
              <w:top w:type="dxa" w:w="60"/>
              <w:left w:type="dxa" w:w="100"/>
              <w:bottom w:type="dxa" w:w="60"/>
              <w:right w:type="dxa" w:w="100"/>
            </w:tcMar>
          </w:tcPr>
          <w:p>
            <w:pPr>
              <w:jc w:val="center"/>
            </w:pPr>
            <w:r>
              <w:rPr>
                <w:rFonts w:ascii="Arial" w:cs="Arial" w:eastAsia="Arial" w:hAnsi="Arial"/>
                <w:b w:val="false"/>
                <w:bCs w:val="false"/>
                <w:sz w:val="19"/>
                <w:szCs w:val="19"/>
              </w:rPr>
              <w:t xml:space="preserve">Mostly large technology stocks, some bonds</w:t>
            </w:r>
          </w:p>
        </w:tc>
      </w:tr>
      <w:tr>
        <w:tc>
          <w:tcPr>
            <w:tcW w:type="dxa" w:w="1300"/>
            <w:tcMar>
              <w:top w:type="dxa" w:w="60"/>
              <w:left w:type="dxa" w:w="100"/>
              <w:bottom w:type="dxa" w:w="60"/>
              <w:right w:type="dxa" w:w="100"/>
            </w:tcMar>
          </w:tcPr>
          <w:p>
            <w:pPr>
              <w:jc w:val="left"/>
            </w:pPr>
            <w:r>
              <w:rPr>
                <w:rFonts w:ascii="Arial" w:cs="Arial" w:eastAsia="Arial" w:hAnsi="Arial"/>
                <w:b/>
                <w:bCs/>
                <w:sz w:val="19"/>
                <w:szCs w:val="19"/>
              </w:rPr>
              <w:t xml:space="preserve">Reflation</w:t>
            </w:r>
          </w:p>
        </w:tc>
        <w:tc>
          <w:tcPr>
            <w:tcW w:type="dxa" w:w="2700"/>
            <w:tcMar>
              <w:top w:type="dxa" w:w="60"/>
              <w:left w:type="dxa" w:w="100"/>
              <w:bottom w:type="dxa" w:w="60"/>
              <w:right w:type="dxa" w:w="100"/>
            </w:tcMar>
          </w:tcPr>
          <w:p>
            <w:pPr>
              <w:jc w:val="center"/>
            </w:pPr>
            <w:r>
              <w:rPr>
                <w:rFonts w:ascii="Arial" w:cs="Arial" w:eastAsia="Arial" w:hAnsi="Arial"/>
                <w:b w:val="false"/>
                <w:bCs w:val="false"/>
                <w:sz w:val="19"/>
                <w:szCs w:val="19"/>
              </w:rPr>
              <w:t xml:space="preserve">Stocks up, commodities up</w:t>
            </w:r>
          </w:p>
        </w:tc>
        <w:tc>
          <w:tcPr>
            <w:tcW w:type="dxa" w:w="5700"/>
            <w:tcMar>
              <w:top w:type="dxa" w:w="60"/>
              <w:left w:type="dxa" w:w="100"/>
              <w:bottom w:type="dxa" w:w="60"/>
              <w:right w:type="dxa" w:w="100"/>
            </w:tcMar>
          </w:tcPr>
          <w:p>
            <w:pPr>
              <w:jc w:val="center"/>
            </w:pPr>
            <w:r>
              <w:rPr>
                <w:rFonts w:ascii="Arial" w:cs="Arial" w:eastAsia="Arial" w:hAnsi="Arial"/>
                <w:b w:val="false"/>
                <w:bCs w:val="false"/>
                <w:sz w:val="19"/>
                <w:szCs w:val="19"/>
              </w:rPr>
              <w:t xml:space="preserve">Stocks plus energy, gold, and commodities</w:t>
            </w:r>
          </w:p>
        </w:tc>
      </w:tr>
      <w:tr>
        <w:tc>
          <w:tcPr>
            <w:tcW w:type="dxa" w:w="1300"/>
            <w:tcMar>
              <w:top w:type="dxa" w:w="60"/>
              <w:left w:type="dxa" w:w="100"/>
              <w:bottom w:type="dxa" w:w="60"/>
              <w:right w:type="dxa" w:w="100"/>
            </w:tcMar>
          </w:tcPr>
          <w:p>
            <w:pPr>
              <w:jc w:val="left"/>
            </w:pPr>
            <w:r>
              <w:rPr>
                <w:rFonts w:ascii="Arial" w:cs="Arial" w:eastAsia="Arial" w:hAnsi="Arial"/>
                <w:b/>
                <w:bCs/>
                <w:sz w:val="19"/>
                <w:szCs w:val="19"/>
              </w:rPr>
              <w:t xml:space="preserve">Stagflation</w:t>
            </w:r>
          </w:p>
        </w:tc>
        <w:tc>
          <w:tcPr>
            <w:tcW w:type="dxa" w:w="2700"/>
            <w:tcMar>
              <w:top w:type="dxa" w:w="60"/>
              <w:left w:type="dxa" w:w="100"/>
              <w:bottom w:type="dxa" w:w="60"/>
              <w:right w:type="dxa" w:w="100"/>
            </w:tcMar>
          </w:tcPr>
          <w:p>
            <w:pPr>
              <w:jc w:val="center"/>
            </w:pPr>
            <w:r>
              <w:rPr>
                <w:rFonts w:ascii="Arial" w:cs="Arial" w:eastAsia="Arial" w:hAnsi="Arial"/>
                <w:b w:val="false"/>
                <w:bCs w:val="false"/>
                <w:sz w:val="19"/>
                <w:szCs w:val="19"/>
              </w:rPr>
              <w:t xml:space="preserve">Stocks down, commodities up</w:t>
            </w:r>
          </w:p>
        </w:tc>
        <w:tc>
          <w:tcPr>
            <w:tcW w:type="dxa" w:w="5700"/>
            <w:tcMar>
              <w:top w:type="dxa" w:w="60"/>
              <w:left w:type="dxa" w:w="100"/>
              <w:bottom w:type="dxa" w:w="60"/>
              <w:right w:type="dxa" w:w="100"/>
            </w:tcMar>
          </w:tcPr>
          <w:p>
            <w:pPr>
              <w:jc w:val="center"/>
            </w:pPr>
            <w:r>
              <w:rPr>
                <w:rFonts w:ascii="Arial" w:cs="Arial" w:eastAsia="Arial" w:hAnsi="Arial"/>
                <w:b w:val="false"/>
                <w:bCs w:val="false"/>
                <w:sz w:val="19"/>
                <w:szCs w:val="19"/>
              </w:rPr>
              <w:t xml:space="preserve">Mostly cash-like holdings and safe bonds; a small bet against energy stocks</w:t>
            </w:r>
          </w:p>
        </w:tc>
      </w:tr>
      <w:tr>
        <w:tc>
          <w:tcPr>
            <w:tcW w:type="dxa" w:w="1300"/>
            <w:tcMar>
              <w:top w:type="dxa" w:w="60"/>
              <w:left w:type="dxa" w:w="100"/>
              <w:bottom w:type="dxa" w:w="60"/>
              <w:right w:type="dxa" w:w="100"/>
            </w:tcMar>
          </w:tcPr>
          <w:p>
            <w:pPr>
              <w:jc w:val="left"/>
            </w:pPr>
            <w:r>
              <w:rPr>
                <w:rFonts w:ascii="Arial" w:cs="Arial" w:eastAsia="Arial" w:hAnsi="Arial"/>
                <w:b/>
                <w:bCs/>
                <w:sz w:val="19"/>
                <w:szCs w:val="19"/>
              </w:rPr>
              <w:t xml:space="preserve">Deflation</w:t>
            </w:r>
          </w:p>
        </w:tc>
        <w:tc>
          <w:tcPr>
            <w:tcW w:type="dxa" w:w="2700"/>
            <w:tcMar>
              <w:top w:type="dxa" w:w="60"/>
              <w:left w:type="dxa" w:w="100"/>
              <w:bottom w:type="dxa" w:w="60"/>
              <w:right w:type="dxa" w:w="100"/>
            </w:tcMar>
          </w:tcPr>
          <w:p>
            <w:pPr>
              <w:jc w:val="center"/>
            </w:pPr>
            <w:r>
              <w:rPr>
                <w:rFonts w:ascii="Arial" w:cs="Arial" w:eastAsia="Arial" w:hAnsi="Arial"/>
                <w:b w:val="false"/>
                <w:bCs w:val="false"/>
                <w:sz w:val="19"/>
                <w:szCs w:val="19"/>
              </w:rPr>
              <w:t xml:space="preserve">Stocks down, commodities down</w:t>
            </w:r>
          </w:p>
        </w:tc>
        <w:tc>
          <w:tcPr>
            <w:tcW w:type="dxa" w:w="5700"/>
            <w:tcMar>
              <w:top w:type="dxa" w:w="60"/>
              <w:left w:type="dxa" w:w="100"/>
              <w:bottom w:type="dxa" w:w="60"/>
              <w:right w:type="dxa" w:w="100"/>
            </w:tcMar>
          </w:tcPr>
          <w:p>
            <w:pPr>
              <w:jc w:val="center"/>
            </w:pPr>
            <w:r>
              <w:rPr>
                <w:rFonts w:ascii="Arial" w:cs="Arial" w:eastAsia="Arial" w:hAnsi="Arial"/>
                <w:b w:val="false"/>
                <w:bCs w:val="false"/>
                <w:sz w:val="19"/>
                <w:szCs w:val="19"/>
              </w:rPr>
              <w:t xml:space="preserve">Government bonds and gold (gold miners in the aggressive versions); a small bet against oil</w:t>
            </w:r>
          </w:p>
        </w:tc>
      </w:tr>
    </w:tbl>
    <w:p>
      <w:pPr>
        <w:spacing w:after="120"/>
      </w:pPr>
    </w:p>
    <w:p>
      <w:pPr>
        <w:spacing w:after="160"/>
      </w:pPr>
      <w:r>
        <w:rPr>
          <w:rFonts w:ascii="Arial" w:cs="Arial" w:eastAsia="Arial" w:hAnsi="Arial"/>
          <w:b w:val="false"/>
          <w:bCs w:val="false"/>
          <w:i w:val="false"/>
          <w:iCs w:val="false"/>
          <w:color w:val="000000"/>
          <w:sz w:val="21"/>
          <w:szCs w:val="21"/>
        </w:rPr>
        <w:t xml:space="preserve">That is the whole engine. The month’s season is decided from finished data (no peeking), the matching list is bought, and nothing else happens until the next month-end. Along the way we tested dozens of “improvements” — checking the signals daily or weekly, reacting to news, credit-market warnings, volatility signals, buying dips — and rejected more than thirty of them because they failed a simple honesty test: an idea only counts if it worked in BOTH the modern period (2007–2026) and a separate earlier period (1987–2006). Fifteen ideas passed that bar and are in the system; everything else was written down and discarded. Trading costs and taxes are included in the planning numbers.</w:t>
      </w:r>
    </w:p>
    <w:p>
      <w:pPr>
        <w:pStyle w:val="Heading1"/>
        <w:spacing w:after="140" w:before="280"/>
      </w:pPr>
      <w:r>
        <w:rPr>
          <w:rFonts w:ascii="Arial" w:cs="Arial" w:eastAsia="Arial" w:hAnsi="Arial"/>
          <w:b/>
          <w:bCs/>
          <w:color w:val="1F3864"/>
          <w:sz w:val="26"/>
          <w:szCs w:val="26"/>
        </w:rPr>
        <w:t xml:space="preserve">The risk framework</w:t>
      </w:r>
    </w:p>
    <w:p>
      <w:pPr>
        <w:spacing w:after="160"/>
      </w:pPr>
      <w:r>
        <w:rPr>
          <w:rFonts w:ascii="Arial" w:cs="Arial" w:eastAsia="Arial" w:hAnsi="Arial"/>
          <w:b w:val="false"/>
          <w:bCs w:val="false"/>
          <w:i w:val="false"/>
          <w:iCs w:val="false"/>
          <w:color w:val="000000"/>
          <w:sz w:val="21"/>
          <w:szCs w:val="21"/>
        </w:rPr>
        <w:t xml:space="preserve">There are four versions of the portfolio — same rules, different octane. You choose one based on how large a temporary drop you can genuinely sit through without selling. That choice is the single most important decision, so here is the worst backtested peak-to-bottom drop for each, in dollars, per $10,000 invested:</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2600"/>
        <w:gridCol w:w="2600"/>
      </w:tblGrid>
      <w:tr>
        <w:tc>
          <w:tcPr>
            <w:tcW w:type="dxa" w:w="1800"/>
            <w:shd w:fill="D9E2F3" w:val="clear"/>
            <w:tcMar>
              <w:top w:type="dxa" w:w="60"/>
              <w:left w:type="dxa" w:w="100"/>
              <w:bottom w:type="dxa" w:w="60"/>
              <w:right w:type="dxa" w:w="100"/>
            </w:tcMar>
          </w:tcPr>
          <w:p>
            <w:pPr>
              <w:jc w:val="left"/>
            </w:pPr>
            <w:r>
              <w:rPr>
                <w:rFonts w:ascii="Arial" w:cs="Arial" w:eastAsia="Arial" w:hAnsi="Arial"/>
                <w:b/>
                <w:bCs/>
                <w:sz w:val="19"/>
                <w:szCs w:val="19"/>
              </w:rPr>
              <w:t xml:space="preserve">Version</w:t>
            </w:r>
          </w:p>
        </w:tc>
        <w:tc>
          <w:tcPr>
            <w:tcW w:type="dxa" w:w="3100"/>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Style</w:t>
            </w:r>
          </w:p>
        </w:tc>
        <w:tc>
          <w:tcPr>
            <w:tcW w:type="dxa" w:w="2600"/>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Worst drop (2007–2026)</w:t>
            </w:r>
          </w:p>
        </w:tc>
        <w:tc>
          <w:tcPr>
            <w:tcW w:type="dxa" w:w="2600"/>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On $10,000</w:t>
            </w:r>
          </w:p>
        </w:tc>
      </w:tr>
      <w:tr>
        <w:tc>
          <w:tcPr>
            <w:tcW w:type="dxa" w:w="1800"/>
            <w:tcMar>
              <w:top w:type="dxa" w:w="60"/>
              <w:left w:type="dxa" w:w="100"/>
              <w:bottom w:type="dxa" w:w="60"/>
              <w:right w:type="dxa" w:w="100"/>
            </w:tcMar>
          </w:tcPr>
          <w:p>
            <w:pPr>
              <w:jc w:val="left"/>
            </w:pPr>
            <w:r>
              <w:rPr>
                <w:rFonts w:ascii="Arial" w:cs="Arial" w:eastAsia="Arial" w:hAnsi="Arial"/>
                <w:b/>
                <w:bCs/>
                <w:sz w:val="19"/>
                <w:szCs w:val="19"/>
              </w:rPr>
              <w:t xml:space="preserve">Conservative</w:t>
            </w:r>
          </w:p>
        </w:tc>
        <w:tc>
          <w:tcPr>
            <w:tcW w:type="dxa" w:w="3100"/>
            <w:tcMar>
              <w:top w:type="dxa" w:w="60"/>
              <w:left w:type="dxa" w:w="100"/>
              <w:bottom w:type="dxa" w:w="60"/>
              <w:right w:type="dxa" w:w="100"/>
            </w:tcMar>
          </w:tcPr>
          <w:p>
            <w:pPr>
              <w:jc w:val="center"/>
            </w:pPr>
            <w:r>
              <w:rPr>
                <w:rFonts w:ascii="Arial" w:cs="Arial" w:eastAsia="Arial" w:hAnsi="Arial"/>
                <w:b w:val="false"/>
                <w:bCs w:val="false"/>
                <w:sz w:val="19"/>
                <w:szCs w:val="19"/>
              </w:rPr>
              <w:t xml:space="preserve">No leverage, defense first</w:t>
            </w:r>
          </w:p>
        </w:tc>
        <w:tc>
          <w:tcPr>
            <w:tcW w:type="dxa" w:w="2600"/>
            <w:tcMar>
              <w:top w:type="dxa" w:w="60"/>
              <w:left w:type="dxa" w:w="100"/>
              <w:bottom w:type="dxa" w:w="60"/>
              <w:right w:type="dxa" w:w="100"/>
            </w:tcMar>
          </w:tcPr>
          <w:p>
            <w:pPr>
              <w:jc w:val="center"/>
            </w:pPr>
            <w:r>
              <w:rPr>
                <w:rFonts w:ascii="Arial" w:cs="Arial" w:eastAsia="Arial" w:hAnsi="Arial"/>
                <w:b w:val="false"/>
                <w:bCs w:val="false"/>
                <w:sz w:val="19"/>
                <w:szCs w:val="19"/>
              </w:rPr>
              <w:t xml:space="preserve">−10%</w:t>
            </w:r>
          </w:p>
        </w:tc>
        <w:tc>
          <w:tcPr>
            <w:tcW w:type="dxa" w:w="2600"/>
            <w:tcMar>
              <w:top w:type="dxa" w:w="60"/>
              <w:left w:type="dxa" w:w="100"/>
              <w:bottom w:type="dxa" w:w="60"/>
              <w:right w:type="dxa" w:w="100"/>
            </w:tcMar>
          </w:tcPr>
          <w:p>
            <w:pPr>
              <w:jc w:val="center"/>
            </w:pPr>
            <w:r>
              <w:rPr>
                <w:rFonts w:ascii="Arial" w:cs="Arial" w:eastAsia="Arial" w:hAnsi="Arial"/>
                <w:b w:val="false"/>
                <w:bCs w:val="false"/>
                <w:sz w:val="19"/>
                <w:szCs w:val="19"/>
              </w:rPr>
              <w:t xml:space="preserve">−$1,020 at the worst point</w:t>
            </w:r>
          </w:p>
        </w:tc>
      </w:tr>
      <w:tr>
        <w:tc>
          <w:tcPr>
            <w:tcW w:type="dxa" w:w="1800"/>
            <w:tcMar>
              <w:top w:type="dxa" w:w="60"/>
              <w:left w:type="dxa" w:w="100"/>
              <w:bottom w:type="dxa" w:w="60"/>
              <w:right w:type="dxa" w:w="100"/>
            </w:tcMar>
          </w:tcPr>
          <w:p>
            <w:pPr>
              <w:jc w:val="left"/>
            </w:pPr>
            <w:r>
              <w:rPr>
                <w:rFonts w:ascii="Arial" w:cs="Arial" w:eastAsia="Arial" w:hAnsi="Arial"/>
                <w:b/>
                <w:bCs/>
                <w:sz w:val="19"/>
                <w:szCs w:val="19"/>
              </w:rPr>
              <w:t xml:space="preserve">Moderate</w:t>
            </w:r>
          </w:p>
        </w:tc>
        <w:tc>
          <w:tcPr>
            <w:tcW w:type="dxa" w:w="3100"/>
            <w:tcMar>
              <w:top w:type="dxa" w:w="60"/>
              <w:left w:type="dxa" w:w="100"/>
              <w:bottom w:type="dxa" w:w="60"/>
              <w:right w:type="dxa" w:w="100"/>
            </w:tcMar>
          </w:tcPr>
          <w:p>
            <w:pPr>
              <w:jc w:val="center"/>
            </w:pPr>
            <w:r>
              <w:rPr>
                <w:rFonts w:ascii="Arial" w:cs="Arial" w:eastAsia="Arial" w:hAnsi="Arial"/>
                <w:b w:val="false"/>
                <w:bCs w:val="false"/>
                <w:sz w:val="19"/>
                <w:szCs w:val="19"/>
              </w:rPr>
              <w:t xml:space="preserve">No leverage</w:t>
            </w:r>
          </w:p>
        </w:tc>
        <w:tc>
          <w:tcPr>
            <w:tcW w:type="dxa" w:w="2600"/>
            <w:tcMar>
              <w:top w:type="dxa" w:w="60"/>
              <w:left w:type="dxa" w:w="100"/>
              <w:bottom w:type="dxa" w:w="60"/>
              <w:right w:type="dxa" w:w="100"/>
            </w:tcMar>
          </w:tcPr>
          <w:p>
            <w:pPr>
              <w:jc w:val="center"/>
            </w:pPr>
            <w:r>
              <w:rPr>
                <w:rFonts w:ascii="Arial" w:cs="Arial" w:eastAsia="Arial" w:hAnsi="Arial"/>
                <w:b w:val="false"/>
                <w:bCs w:val="false"/>
                <w:sz w:val="19"/>
                <w:szCs w:val="19"/>
              </w:rPr>
              <w:t xml:space="preserve">−14%</w:t>
            </w:r>
          </w:p>
        </w:tc>
        <w:tc>
          <w:tcPr>
            <w:tcW w:type="dxa" w:w="2600"/>
            <w:tcMar>
              <w:top w:type="dxa" w:w="60"/>
              <w:left w:type="dxa" w:w="100"/>
              <w:bottom w:type="dxa" w:w="60"/>
              <w:right w:type="dxa" w:w="100"/>
            </w:tcMar>
          </w:tcPr>
          <w:p>
            <w:pPr>
              <w:jc w:val="center"/>
            </w:pPr>
            <w:r>
              <w:rPr>
                <w:rFonts w:ascii="Arial" w:cs="Arial" w:eastAsia="Arial" w:hAnsi="Arial"/>
                <w:b w:val="false"/>
                <w:bCs w:val="false"/>
                <w:sz w:val="19"/>
                <w:szCs w:val="19"/>
              </w:rPr>
              <w:t xml:space="preserve">−$1,430</w:t>
            </w:r>
          </w:p>
        </w:tc>
      </w:tr>
      <w:tr>
        <w:tc>
          <w:tcPr>
            <w:tcW w:type="dxa" w:w="1800"/>
            <w:tcMar>
              <w:top w:type="dxa" w:w="60"/>
              <w:left w:type="dxa" w:w="100"/>
              <w:bottom w:type="dxa" w:w="60"/>
              <w:right w:type="dxa" w:w="100"/>
            </w:tcMar>
          </w:tcPr>
          <w:p>
            <w:pPr>
              <w:jc w:val="left"/>
            </w:pPr>
            <w:r>
              <w:rPr>
                <w:rFonts w:ascii="Arial" w:cs="Arial" w:eastAsia="Arial" w:hAnsi="Arial"/>
                <w:b/>
                <w:bCs/>
                <w:sz w:val="19"/>
                <w:szCs w:val="19"/>
              </w:rPr>
              <w:t xml:space="preserve">Aggressive</w:t>
            </w:r>
          </w:p>
        </w:tc>
        <w:tc>
          <w:tcPr>
            <w:tcW w:type="dxa" w:w="3100"/>
            <w:tcMar>
              <w:top w:type="dxa" w:w="60"/>
              <w:left w:type="dxa" w:w="100"/>
              <w:bottom w:type="dxa" w:w="60"/>
              <w:right w:type="dxa" w:w="100"/>
            </w:tcMar>
          </w:tcPr>
          <w:p>
            <w:pPr>
              <w:jc w:val="center"/>
            </w:pPr>
            <w:r>
              <w:rPr>
                <w:rFonts w:ascii="Arial" w:cs="Arial" w:eastAsia="Arial" w:hAnsi="Arial"/>
                <w:b w:val="false"/>
                <w:bCs w:val="false"/>
                <w:sz w:val="19"/>
                <w:szCs w:val="19"/>
              </w:rPr>
              <w:t xml:space="preserve">Some leveraged funds</w:t>
            </w:r>
          </w:p>
        </w:tc>
        <w:tc>
          <w:tcPr>
            <w:tcW w:type="dxa" w:w="2600"/>
            <w:tcMar>
              <w:top w:type="dxa" w:w="60"/>
              <w:left w:type="dxa" w:w="100"/>
              <w:bottom w:type="dxa" w:w="60"/>
              <w:right w:type="dxa" w:w="100"/>
            </w:tcMar>
          </w:tcPr>
          <w:p>
            <w:pPr>
              <w:jc w:val="center"/>
            </w:pPr>
            <w:r>
              <w:rPr>
                <w:rFonts w:ascii="Arial" w:cs="Arial" w:eastAsia="Arial" w:hAnsi="Arial"/>
                <w:b w:val="false"/>
                <w:bCs w:val="false"/>
                <w:sz w:val="19"/>
                <w:szCs w:val="19"/>
              </w:rPr>
              <w:t xml:space="preserve">−33%</w:t>
            </w:r>
          </w:p>
        </w:tc>
        <w:tc>
          <w:tcPr>
            <w:tcW w:type="dxa" w:w="2600"/>
            <w:tcMar>
              <w:top w:type="dxa" w:w="60"/>
              <w:left w:type="dxa" w:w="100"/>
              <w:bottom w:type="dxa" w:w="60"/>
              <w:right w:type="dxa" w:w="100"/>
            </w:tcMar>
          </w:tcPr>
          <w:p>
            <w:pPr>
              <w:jc w:val="center"/>
            </w:pPr>
            <w:r>
              <w:rPr>
                <w:rFonts w:ascii="Arial" w:cs="Arial" w:eastAsia="Arial" w:hAnsi="Arial"/>
                <w:b w:val="false"/>
                <w:bCs w:val="false"/>
                <w:sz w:val="19"/>
                <w:szCs w:val="19"/>
              </w:rPr>
              <w:t xml:space="preserve">−$3,310</w:t>
            </w:r>
          </w:p>
        </w:tc>
      </w:tr>
      <w:tr>
        <w:tc>
          <w:tcPr>
            <w:tcW w:type="dxa" w:w="1800"/>
            <w:tcMar>
              <w:top w:type="dxa" w:w="60"/>
              <w:left w:type="dxa" w:w="100"/>
              <w:bottom w:type="dxa" w:w="60"/>
              <w:right w:type="dxa" w:w="100"/>
            </w:tcMar>
          </w:tcPr>
          <w:p>
            <w:pPr>
              <w:jc w:val="left"/>
            </w:pPr>
            <w:r>
              <w:rPr>
                <w:rFonts w:ascii="Arial" w:cs="Arial" w:eastAsia="Arial" w:hAnsi="Arial"/>
                <w:b/>
                <w:bCs/>
                <w:sz w:val="19"/>
                <w:szCs w:val="19"/>
              </w:rPr>
              <w:t xml:space="preserve">Very Aggressive</w:t>
            </w:r>
          </w:p>
        </w:tc>
        <w:tc>
          <w:tcPr>
            <w:tcW w:type="dxa" w:w="3100"/>
            <w:tcMar>
              <w:top w:type="dxa" w:w="60"/>
              <w:left w:type="dxa" w:w="100"/>
              <w:bottom w:type="dxa" w:w="60"/>
              <w:right w:type="dxa" w:w="100"/>
            </w:tcMar>
          </w:tcPr>
          <w:p>
            <w:pPr>
              <w:jc w:val="center"/>
            </w:pPr>
            <w:r>
              <w:rPr>
                <w:rFonts w:ascii="Arial" w:cs="Arial" w:eastAsia="Arial" w:hAnsi="Arial"/>
                <w:b w:val="false"/>
                <w:bCs w:val="false"/>
                <w:sz w:val="19"/>
                <w:szCs w:val="19"/>
              </w:rPr>
              <w:t xml:space="preserve">Leveraged funds throughout</w:t>
            </w:r>
          </w:p>
        </w:tc>
        <w:tc>
          <w:tcPr>
            <w:tcW w:type="dxa" w:w="2600"/>
            <w:tcMar>
              <w:top w:type="dxa" w:w="60"/>
              <w:left w:type="dxa" w:w="100"/>
              <w:bottom w:type="dxa" w:w="60"/>
              <w:right w:type="dxa" w:w="100"/>
            </w:tcMar>
          </w:tcPr>
          <w:p>
            <w:pPr>
              <w:jc w:val="center"/>
            </w:pPr>
            <w:r>
              <w:rPr>
                <w:rFonts w:ascii="Arial" w:cs="Arial" w:eastAsia="Arial" w:hAnsi="Arial"/>
                <w:b w:val="false"/>
                <w:bCs w:val="false"/>
                <w:sz w:val="19"/>
                <w:szCs w:val="19"/>
              </w:rPr>
              <w:t xml:space="preserve">−47%</w:t>
            </w:r>
          </w:p>
        </w:tc>
        <w:tc>
          <w:tcPr>
            <w:tcW w:type="dxa" w:w="2600"/>
            <w:tcMar>
              <w:top w:type="dxa" w:w="60"/>
              <w:left w:type="dxa" w:w="100"/>
              <w:bottom w:type="dxa" w:w="60"/>
              <w:right w:type="dxa" w:w="100"/>
            </w:tcMar>
          </w:tcPr>
          <w:p>
            <w:pPr>
              <w:jc w:val="center"/>
            </w:pPr>
            <w:r>
              <w:rPr>
                <w:rFonts w:ascii="Arial" w:cs="Arial" w:eastAsia="Arial" w:hAnsi="Arial"/>
                <w:b w:val="false"/>
                <w:bCs w:val="false"/>
                <w:sz w:val="19"/>
                <w:szCs w:val="19"/>
              </w:rPr>
              <w:t xml:space="preserve">−$4,680</w:t>
            </w:r>
          </w:p>
        </w:tc>
      </w:tr>
    </w:tbl>
    <w:p>
      <w:pPr>
        <w:spacing w:after="120"/>
      </w:pPr>
    </w:p>
    <w:p>
      <w:pPr>
        <w:spacing w:after="160"/>
      </w:pPr>
      <w:r>
        <w:rPr>
          <w:rFonts w:ascii="Arial" w:cs="Arial" w:eastAsia="Arial" w:hAnsi="Arial"/>
          <w:b w:val="false"/>
          <w:bCs w:val="false"/>
          <w:i w:val="false"/>
          <w:iCs w:val="false"/>
          <w:color w:val="000000"/>
          <w:sz w:val="21"/>
          <w:szCs w:val="21"/>
        </w:rPr>
        <w:t xml:space="preserve">Guardrails: no borrowed money and no margin account (the “bets against” oil and energy use ordinary funds, kept small at 5–7% of the portfolio); everything is a large, liquid, exchange-traded fund; the system only trades monthly; and the season signal itself acts as the emergency brake — if markets break down, the next monthly check moves the portfolio into bonds, gold, and cash automatically. A written kill switch can halt all trading instantly.</w:t>
      </w:r>
    </w:p>
    <w:p>
      <w:pPr>
        <w:pStyle w:val="Heading1"/>
        <w:spacing w:after="140" w:before="280"/>
      </w:pPr>
      <w:r>
        <w:rPr>
          <w:rFonts w:ascii="Arial" w:cs="Arial" w:eastAsia="Arial" w:hAnsi="Arial"/>
          <w:b/>
          <w:bCs/>
          <w:color w:val="1F3864"/>
          <w:sz w:val="26"/>
          <w:szCs w:val="26"/>
        </w:rPr>
        <w:t xml:space="preserve">The return profile (backtest, Jan 2007–Sep 2026)</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3100"/>
      </w:tblGrid>
      <w:tr>
        <w:tc>
          <w:tcPr>
            <w:tcW w:type="dxa" w:w="2600"/>
            <w:shd w:fill="D9E2F3" w:val="clear"/>
            <w:tcMar>
              <w:top w:type="dxa" w:w="60"/>
              <w:left w:type="dxa" w:w="100"/>
              <w:bottom w:type="dxa" w:w="60"/>
              <w:right w:type="dxa" w:w="100"/>
            </w:tcMar>
          </w:tcPr>
          <w:p>
            <w:pPr>
              <w:jc w:val="left"/>
            </w:pPr>
            <w:r>
              <w:rPr>
                <w:rFonts w:ascii="Arial" w:cs="Arial" w:eastAsia="Arial" w:hAnsi="Arial"/>
                <w:b/>
                <w:bCs/>
                <w:sz w:val="19"/>
                <w:szCs w:val="19"/>
              </w:rPr>
              <w:t xml:space="preserve"/>
            </w:r>
          </w:p>
        </w:tc>
        <w:tc>
          <w:tcPr>
            <w:tcW w:type="dxa" w:w="2200"/>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Return / yr</w:t>
            </w:r>
          </w:p>
        </w:tc>
        <w:tc>
          <w:tcPr>
            <w:tcW w:type="dxa" w:w="2200"/>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Worst drop</w:t>
            </w:r>
          </w:p>
        </w:tc>
        <w:tc>
          <w:tcPr>
            <w:tcW w:type="dxa" w:w="3100"/>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Return per unit of downside*</w:t>
            </w:r>
          </w:p>
        </w:tc>
      </w:tr>
      <w:tr>
        <w:tc>
          <w:tcPr>
            <w:tcW w:type="dxa" w:w="2600"/>
            <w:tcMar>
              <w:top w:type="dxa" w:w="60"/>
              <w:left w:type="dxa" w:w="100"/>
              <w:bottom w:type="dxa" w:w="60"/>
              <w:right w:type="dxa" w:w="100"/>
            </w:tcMar>
          </w:tcPr>
          <w:p>
            <w:pPr>
              <w:jc w:val="left"/>
            </w:pPr>
            <w:r>
              <w:rPr>
                <w:rFonts w:ascii="Arial" w:cs="Arial" w:eastAsia="Arial" w:hAnsi="Arial"/>
                <w:b/>
                <w:bCs/>
                <w:sz w:val="19"/>
                <w:szCs w:val="19"/>
              </w:rPr>
              <w:t xml:space="preserve">Conservative</w:t>
            </w:r>
          </w:p>
        </w:tc>
        <w:tc>
          <w:tcPr>
            <w:tcW w:type="dxa" w:w="2200"/>
            <w:tcMar>
              <w:top w:type="dxa" w:w="60"/>
              <w:left w:type="dxa" w:w="100"/>
              <w:bottom w:type="dxa" w:w="60"/>
              <w:right w:type="dxa" w:w="100"/>
            </w:tcMar>
          </w:tcPr>
          <w:p>
            <w:pPr>
              <w:jc w:val="center"/>
            </w:pPr>
            <w:r>
              <w:rPr>
                <w:rFonts w:ascii="Arial" w:cs="Arial" w:eastAsia="Arial" w:hAnsi="Arial"/>
                <w:b w:val="false"/>
                <w:bCs w:val="false"/>
                <w:sz w:val="19"/>
                <w:szCs w:val="19"/>
              </w:rPr>
              <w:t xml:space="preserve">+9.8%</w:t>
            </w:r>
          </w:p>
        </w:tc>
        <w:tc>
          <w:tcPr>
            <w:tcW w:type="dxa" w:w="2200"/>
            <w:tcMar>
              <w:top w:type="dxa" w:w="60"/>
              <w:left w:type="dxa" w:w="100"/>
              <w:bottom w:type="dxa" w:w="60"/>
              <w:right w:type="dxa" w:w="100"/>
            </w:tcMar>
          </w:tcPr>
          <w:p>
            <w:pPr>
              <w:jc w:val="center"/>
            </w:pPr>
            <w:r>
              <w:rPr>
                <w:rFonts w:ascii="Arial" w:cs="Arial" w:eastAsia="Arial" w:hAnsi="Arial"/>
                <w:b w:val="false"/>
                <w:bCs w:val="false"/>
                <w:sz w:val="19"/>
                <w:szCs w:val="19"/>
              </w:rPr>
              <w:t xml:space="preserve">−10%</w:t>
            </w:r>
          </w:p>
        </w:tc>
        <w:tc>
          <w:tcPr>
            <w:tcW w:type="dxa" w:w="3100"/>
            <w:tcMar>
              <w:top w:type="dxa" w:w="60"/>
              <w:left w:type="dxa" w:w="100"/>
              <w:bottom w:type="dxa" w:w="60"/>
              <w:right w:type="dxa" w:w="100"/>
            </w:tcMar>
          </w:tcPr>
          <w:p>
            <w:pPr>
              <w:jc w:val="center"/>
            </w:pPr>
            <w:r>
              <w:rPr>
                <w:rFonts w:ascii="Arial" w:cs="Arial" w:eastAsia="Arial" w:hAnsi="Arial"/>
                <w:b w:val="false"/>
                <w:bCs w:val="false"/>
                <w:sz w:val="19"/>
                <w:szCs w:val="19"/>
              </w:rPr>
              <w:t xml:space="preserve">1.62</w:t>
            </w:r>
          </w:p>
        </w:tc>
      </w:tr>
      <w:tr>
        <w:tc>
          <w:tcPr>
            <w:tcW w:type="dxa" w:w="2600"/>
            <w:tcMar>
              <w:top w:type="dxa" w:w="60"/>
              <w:left w:type="dxa" w:w="100"/>
              <w:bottom w:type="dxa" w:w="60"/>
              <w:right w:type="dxa" w:w="100"/>
            </w:tcMar>
          </w:tcPr>
          <w:p>
            <w:pPr>
              <w:jc w:val="left"/>
            </w:pPr>
            <w:r>
              <w:rPr>
                <w:rFonts w:ascii="Arial" w:cs="Arial" w:eastAsia="Arial" w:hAnsi="Arial"/>
                <w:b/>
                <w:bCs/>
                <w:sz w:val="19"/>
                <w:szCs w:val="19"/>
              </w:rPr>
              <w:t xml:space="preserve">Moderate</w:t>
            </w:r>
          </w:p>
        </w:tc>
        <w:tc>
          <w:tcPr>
            <w:tcW w:type="dxa" w:w="2200"/>
            <w:tcMar>
              <w:top w:type="dxa" w:w="60"/>
              <w:left w:type="dxa" w:w="100"/>
              <w:bottom w:type="dxa" w:w="60"/>
              <w:right w:type="dxa" w:w="100"/>
            </w:tcMar>
          </w:tcPr>
          <w:p>
            <w:pPr>
              <w:jc w:val="center"/>
            </w:pPr>
            <w:r>
              <w:rPr>
                <w:rFonts w:ascii="Arial" w:cs="Arial" w:eastAsia="Arial" w:hAnsi="Arial"/>
                <w:b w:val="false"/>
                <w:bCs w:val="false"/>
                <w:sz w:val="19"/>
                <w:szCs w:val="19"/>
              </w:rPr>
              <w:t xml:space="preserve">+15.4%</w:t>
            </w:r>
          </w:p>
        </w:tc>
        <w:tc>
          <w:tcPr>
            <w:tcW w:type="dxa" w:w="2200"/>
            <w:tcMar>
              <w:top w:type="dxa" w:w="60"/>
              <w:left w:type="dxa" w:w="100"/>
              <w:bottom w:type="dxa" w:w="60"/>
              <w:right w:type="dxa" w:w="100"/>
            </w:tcMar>
          </w:tcPr>
          <w:p>
            <w:pPr>
              <w:jc w:val="center"/>
            </w:pPr>
            <w:r>
              <w:rPr>
                <w:rFonts w:ascii="Arial" w:cs="Arial" w:eastAsia="Arial" w:hAnsi="Arial"/>
                <w:b w:val="false"/>
                <w:bCs w:val="false"/>
                <w:sz w:val="19"/>
                <w:szCs w:val="19"/>
              </w:rPr>
              <w:t xml:space="preserve">−14%</w:t>
            </w:r>
          </w:p>
        </w:tc>
        <w:tc>
          <w:tcPr>
            <w:tcW w:type="dxa" w:w="3100"/>
            <w:tcMar>
              <w:top w:type="dxa" w:w="60"/>
              <w:left w:type="dxa" w:w="100"/>
              <w:bottom w:type="dxa" w:w="60"/>
              <w:right w:type="dxa" w:w="100"/>
            </w:tcMar>
          </w:tcPr>
          <w:p>
            <w:pPr>
              <w:jc w:val="center"/>
            </w:pPr>
            <w:r>
              <w:rPr>
                <w:rFonts w:ascii="Arial" w:cs="Arial" w:eastAsia="Arial" w:hAnsi="Arial"/>
                <w:b w:val="false"/>
                <w:bCs w:val="false"/>
                <w:sz w:val="19"/>
                <w:szCs w:val="19"/>
              </w:rPr>
              <w:t xml:space="preserve">1.73</w:t>
            </w:r>
          </w:p>
        </w:tc>
      </w:tr>
      <w:tr>
        <w:tc>
          <w:tcPr>
            <w:tcW w:type="dxa" w:w="2600"/>
            <w:tcMar>
              <w:top w:type="dxa" w:w="60"/>
              <w:left w:type="dxa" w:w="100"/>
              <w:bottom w:type="dxa" w:w="60"/>
              <w:right w:type="dxa" w:w="100"/>
            </w:tcMar>
          </w:tcPr>
          <w:p>
            <w:pPr>
              <w:jc w:val="left"/>
            </w:pPr>
            <w:r>
              <w:rPr>
                <w:rFonts w:ascii="Arial" w:cs="Arial" w:eastAsia="Arial" w:hAnsi="Arial"/>
                <w:b/>
                <w:bCs/>
                <w:sz w:val="19"/>
                <w:szCs w:val="19"/>
              </w:rPr>
              <w:t xml:space="preserve">Aggressive</w:t>
            </w:r>
          </w:p>
        </w:tc>
        <w:tc>
          <w:tcPr>
            <w:tcW w:type="dxa" w:w="2200"/>
            <w:tcMar>
              <w:top w:type="dxa" w:w="60"/>
              <w:left w:type="dxa" w:w="100"/>
              <w:bottom w:type="dxa" w:w="60"/>
              <w:right w:type="dxa" w:w="100"/>
            </w:tcMar>
          </w:tcPr>
          <w:p>
            <w:pPr>
              <w:jc w:val="center"/>
            </w:pPr>
            <w:r>
              <w:rPr>
                <w:rFonts w:ascii="Arial" w:cs="Arial" w:eastAsia="Arial" w:hAnsi="Arial"/>
                <w:b w:val="false"/>
                <w:bCs w:val="false"/>
                <w:sz w:val="19"/>
                <w:szCs w:val="19"/>
              </w:rPr>
              <w:t xml:space="preserve">+27.3%</w:t>
            </w:r>
          </w:p>
        </w:tc>
        <w:tc>
          <w:tcPr>
            <w:tcW w:type="dxa" w:w="2200"/>
            <w:tcMar>
              <w:top w:type="dxa" w:w="60"/>
              <w:left w:type="dxa" w:w="100"/>
              <w:bottom w:type="dxa" w:w="60"/>
              <w:right w:type="dxa" w:w="100"/>
            </w:tcMar>
          </w:tcPr>
          <w:p>
            <w:pPr>
              <w:jc w:val="center"/>
            </w:pPr>
            <w:r>
              <w:rPr>
                <w:rFonts w:ascii="Arial" w:cs="Arial" w:eastAsia="Arial" w:hAnsi="Arial"/>
                <w:b w:val="false"/>
                <w:bCs w:val="false"/>
                <w:sz w:val="19"/>
                <w:szCs w:val="19"/>
              </w:rPr>
              <w:t xml:space="preserve">−33%</w:t>
            </w:r>
          </w:p>
        </w:tc>
        <w:tc>
          <w:tcPr>
            <w:tcW w:type="dxa" w:w="3100"/>
            <w:tcMar>
              <w:top w:type="dxa" w:w="60"/>
              <w:left w:type="dxa" w:w="100"/>
              <w:bottom w:type="dxa" w:w="60"/>
              <w:right w:type="dxa" w:w="100"/>
            </w:tcMar>
          </w:tcPr>
          <w:p>
            <w:pPr>
              <w:jc w:val="center"/>
            </w:pPr>
            <w:r>
              <w:rPr>
                <w:rFonts w:ascii="Arial" w:cs="Arial" w:eastAsia="Arial" w:hAnsi="Arial"/>
                <w:b w:val="false"/>
                <w:bCs w:val="false"/>
                <w:sz w:val="19"/>
                <w:szCs w:val="19"/>
              </w:rPr>
              <w:t xml:space="preserve">1.41</w:t>
            </w:r>
          </w:p>
        </w:tc>
      </w:tr>
      <w:tr>
        <w:tc>
          <w:tcPr>
            <w:tcW w:type="dxa" w:w="2600"/>
            <w:tcMar>
              <w:top w:type="dxa" w:w="60"/>
              <w:left w:type="dxa" w:w="100"/>
              <w:bottom w:type="dxa" w:w="60"/>
              <w:right w:type="dxa" w:w="100"/>
            </w:tcMar>
          </w:tcPr>
          <w:p>
            <w:pPr>
              <w:jc w:val="left"/>
            </w:pPr>
            <w:r>
              <w:rPr>
                <w:rFonts w:ascii="Arial" w:cs="Arial" w:eastAsia="Arial" w:hAnsi="Arial"/>
                <w:b/>
                <w:bCs/>
                <w:sz w:val="19"/>
                <w:szCs w:val="19"/>
              </w:rPr>
              <w:t xml:space="preserve">Very Aggressive</w:t>
            </w:r>
          </w:p>
        </w:tc>
        <w:tc>
          <w:tcPr>
            <w:tcW w:type="dxa" w:w="2200"/>
            <w:tcMar>
              <w:top w:type="dxa" w:w="60"/>
              <w:left w:type="dxa" w:w="100"/>
              <w:bottom w:type="dxa" w:w="60"/>
              <w:right w:type="dxa" w:w="100"/>
            </w:tcMar>
          </w:tcPr>
          <w:p>
            <w:pPr>
              <w:jc w:val="center"/>
            </w:pPr>
            <w:r>
              <w:rPr>
                <w:rFonts w:ascii="Arial" w:cs="Arial" w:eastAsia="Arial" w:hAnsi="Arial"/>
                <w:b w:val="false"/>
                <w:bCs w:val="false"/>
                <w:sz w:val="19"/>
                <w:szCs w:val="19"/>
              </w:rPr>
              <w:t xml:space="preserve">+35.3%</w:t>
            </w:r>
          </w:p>
        </w:tc>
        <w:tc>
          <w:tcPr>
            <w:tcW w:type="dxa" w:w="2200"/>
            <w:tcMar>
              <w:top w:type="dxa" w:w="60"/>
              <w:left w:type="dxa" w:w="100"/>
              <w:bottom w:type="dxa" w:w="60"/>
              <w:right w:type="dxa" w:w="100"/>
            </w:tcMar>
          </w:tcPr>
          <w:p>
            <w:pPr>
              <w:jc w:val="center"/>
            </w:pPr>
            <w:r>
              <w:rPr>
                <w:rFonts w:ascii="Arial" w:cs="Arial" w:eastAsia="Arial" w:hAnsi="Arial"/>
                <w:b w:val="false"/>
                <w:bCs w:val="false"/>
                <w:sz w:val="19"/>
                <w:szCs w:val="19"/>
              </w:rPr>
              <w:t xml:space="preserve">−47%</w:t>
            </w:r>
          </w:p>
        </w:tc>
        <w:tc>
          <w:tcPr>
            <w:tcW w:type="dxa" w:w="3100"/>
            <w:tcMar>
              <w:top w:type="dxa" w:w="60"/>
              <w:left w:type="dxa" w:w="100"/>
              <w:bottom w:type="dxa" w:w="60"/>
              <w:right w:type="dxa" w:w="100"/>
            </w:tcMar>
          </w:tcPr>
          <w:p>
            <w:pPr>
              <w:jc w:val="center"/>
            </w:pPr>
            <w:r>
              <w:rPr>
                <w:rFonts w:ascii="Arial" w:cs="Arial" w:eastAsia="Arial" w:hAnsi="Arial"/>
                <w:b w:val="false"/>
                <w:bCs w:val="false"/>
                <w:sz w:val="19"/>
                <w:szCs w:val="19"/>
              </w:rPr>
              <w:t xml:space="preserve">1.22</w:t>
            </w:r>
          </w:p>
        </w:tc>
      </w:tr>
      <w:tr>
        <w:tc>
          <w:tcPr>
            <w:tcW w:type="dxa" w:w="2600"/>
            <w:tcMar>
              <w:top w:type="dxa" w:w="60"/>
              <w:left w:type="dxa" w:w="100"/>
              <w:bottom w:type="dxa" w:w="60"/>
              <w:right w:type="dxa" w:w="100"/>
            </w:tcMar>
          </w:tcPr>
          <w:p>
            <w:pPr>
              <w:jc w:val="left"/>
            </w:pPr>
            <w:r>
              <w:rPr>
                <w:rFonts w:ascii="Arial" w:cs="Arial" w:eastAsia="Arial" w:hAnsi="Arial"/>
                <w:b/>
                <w:bCs/>
                <w:sz w:val="19"/>
                <w:szCs w:val="19"/>
              </w:rPr>
              <w:t xml:space="preserve">S&amp;P 500 (buy &amp; hold)</w:t>
            </w:r>
          </w:p>
        </w:tc>
        <w:tc>
          <w:tcPr>
            <w:tcW w:type="dxa" w:w="2200"/>
            <w:tcMar>
              <w:top w:type="dxa" w:w="60"/>
              <w:left w:type="dxa" w:w="100"/>
              <w:bottom w:type="dxa" w:w="60"/>
              <w:right w:type="dxa" w:w="100"/>
            </w:tcMar>
          </w:tcPr>
          <w:p>
            <w:pPr>
              <w:jc w:val="center"/>
            </w:pPr>
            <w:r>
              <w:rPr>
                <w:rFonts w:ascii="Arial" w:cs="Arial" w:eastAsia="Arial" w:hAnsi="Arial"/>
                <w:b w:val="false"/>
                <w:bCs w:val="false"/>
                <w:sz w:val="19"/>
                <w:szCs w:val="19"/>
              </w:rPr>
              <w:t xml:space="preserve">+11.0%</w:t>
            </w:r>
          </w:p>
        </w:tc>
        <w:tc>
          <w:tcPr>
            <w:tcW w:type="dxa" w:w="2200"/>
            <w:tcMar>
              <w:top w:type="dxa" w:w="60"/>
              <w:left w:type="dxa" w:w="100"/>
              <w:bottom w:type="dxa" w:w="60"/>
              <w:right w:type="dxa" w:w="100"/>
            </w:tcMar>
          </w:tcPr>
          <w:p>
            <w:pPr>
              <w:jc w:val="center"/>
            </w:pPr>
            <w:r>
              <w:rPr>
                <w:rFonts w:ascii="Arial" w:cs="Arial" w:eastAsia="Arial" w:hAnsi="Arial"/>
                <w:b w:val="false"/>
                <w:bCs w:val="false"/>
                <w:sz w:val="19"/>
                <w:szCs w:val="19"/>
              </w:rPr>
              <w:t xml:space="preserve">−55%</w:t>
            </w:r>
          </w:p>
        </w:tc>
        <w:tc>
          <w:tcPr>
            <w:tcW w:type="dxa" w:w="3100"/>
            <w:tcMar>
              <w:top w:type="dxa" w:w="60"/>
              <w:left w:type="dxa" w:w="100"/>
              <w:bottom w:type="dxa" w:w="60"/>
              <w:right w:type="dxa" w:w="100"/>
            </w:tcMar>
          </w:tcPr>
          <w:p>
            <w:pPr>
              <w:jc w:val="center"/>
            </w:pPr>
            <w:r>
              <w:rPr>
                <w:rFonts w:ascii="Arial" w:cs="Arial" w:eastAsia="Arial" w:hAnsi="Arial"/>
                <w:b w:val="false"/>
                <w:bCs w:val="false"/>
                <w:sz w:val="19"/>
                <w:szCs w:val="19"/>
              </w:rPr>
              <w:t xml:space="preserve">0.69</w:t>
            </w:r>
          </w:p>
        </w:tc>
      </w:tr>
      <w:tr>
        <w:tc>
          <w:tcPr>
            <w:tcW w:type="dxa" w:w="2600"/>
            <w:tcMar>
              <w:top w:type="dxa" w:w="60"/>
              <w:left w:type="dxa" w:w="100"/>
              <w:bottom w:type="dxa" w:w="60"/>
              <w:right w:type="dxa" w:w="100"/>
            </w:tcMar>
          </w:tcPr>
          <w:p>
            <w:pPr>
              <w:jc w:val="left"/>
            </w:pPr>
            <w:r>
              <w:rPr>
                <w:rFonts w:ascii="Arial" w:cs="Arial" w:eastAsia="Arial" w:hAnsi="Arial"/>
                <w:b/>
                <w:bCs/>
                <w:sz w:val="19"/>
                <w:szCs w:val="19"/>
              </w:rPr>
              <w:t xml:space="preserve">Nasdaq 100 (buy &amp; hold)</w:t>
            </w:r>
          </w:p>
        </w:tc>
        <w:tc>
          <w:tcPr>
            <w:tcW w:type="dxa" w:w="2200"/>
            <w:tcMar>
              <w:top w:type="dxa" w:w="60"/>
              <w:left w:type="dxa" w:w="100"/>
              <w:bottom w:type="dxa" w:w="60"/>
              <w:right w:type="dxa" w:w="100"/>
            </w:tcMar>
          </w:tcPr>
          <w:p>
            <w:pPr>
              <w:jc w:val="center"/>
            </w:pPr>
            <w:r>
              <w:rPr>
                <w:rFonts w:ascii="Arial" w:cs="Arial" w:eastAsia="Arial" w:hAnsi="Arial"/>
                <w:b w:val="false"/>
                <w:bCs w:val="false"/>
                <w:sz w:val="19"/>
                <w:szCs w:val="19"/>
              </w:rPr>
              <w:t xml:space="preserve">+16.4%</w:t>
            </w:r>
          </w:p>
        </w:tc>
        <w:tc>
          <w:tcPr>
            <w:tcW w:type="dxa" w:w="2200"/>
            <w:tcMar>
              <w:top w:type="dxa" w:w="60"/>
              <w:left w:type="dxa" w:w="100"/>
              <w:bottom w:type="dxa" w:w="60"/>
              <w:right w:type="dxa" w:w="100"/>
            </w:tcMar>
          </w:tcPr>
          <w:p>
            <w:pPr>
              <w:jc w:val="center"/>
            </w:pPr>
            <w:r>
              <w:rPr>
                <w:rFonts w:ascii="Arial" w:cs="Arial" w:eastAsia="Arial" w:hAnsi="Arial"/>
                <w:b w:val="false"/>
                <w:bCs w:val="false"/>
                <w:sz w:val="19"/>
                <w:szCs w:val="19"/>
              </w:rPr>
              <w:t xml:space="preserve">−53%</w:t>
            </w:r>
          </w:p>
        </w:tc>
        <w:tc>
          <w:tcPr>
            <w:tcW w:type="dxa" w:w="3100"/>
            <w:tcMar>
              <w:top w:type="dxa" w:w="60"/>
              <w:left w:type="dxa" w:w="100"/>
              <w:bottom w:type="dxa" w:w="60"/>
              <w:right w:type="dxa" w:w="100"/>
            </w:tcMar>
          </w:tcPr>
          <w:p>
            <w:pPr>
              <w:jc w:val="center"/>
            </w:pPr>
            <w:r>
              <w:rPr>
                <w:rFonts w:ascii="Arial" w:cs="Arial" w:eastAsia="Arial" w:hAnsi="Arial"/>
                <w:b w:val="false"/>
                <w:bCs w:val="false"/>
                <w:sz w:val="19"/>
                <w:szCs w:val="19"/>
              </w:rPr>
              <w:t xml:space="preserve">0.96</w:t>
            </w:r>
          </w:p>
        </w:tc>
      </w:tr>
    </w:tbl>
    <w:p>
      <w:pPr>
        <w:spacing w:after="160"/>
      </w:pPr>
      <w:r>
        <w:rPr>
          <w:rFonts w:ascii="Arial" w:cs="Arial" w:eastAsia="Arial" w:hAnsi="Arial"/>
          <w:b w:val="false"/>
          <w:bCs w:val="false"/>
          <w:i w:val="false"/>
          <w:iCs w:val="false"/>
          <w:color w:val="595959"/>
          <w:sz w:val="18"/>
          <w:szCs w:val="18"/>
        </w:rPr>
        <w:t xml:space="preserve">*A standard measure (Sortino ratio): how much return you earn for each unit of downside pain. Higher is better; the point of the table is that every version of the system earned its returns more efficiently than simply holding the index.</w:t>
      </w:r>
    </w:p>
    <w:p>
      <w:pPr>
        <w:spacing w:after="160"/>
      </w:pPr>
      <w:r>
        <w:rPr>
          <w:rFonts w:ascii="Arial" w:cs="Arial" w:eastAsia="Arial" w:hAnsi="Arial"/>
          <w:b w:val="false"/>
          <w:bCs w:val="false"/>
          <w:i w:val="false"/>
          <w:iCs w:val="false"/>
          <w:color w:val="000000"/>
          <w:sz w:val="21"/>
          <w:szCs w:val="21"/>
        </w:rPr>
        <w:t xml:space="preserve">For planning we do not use these numbers as-is: we assume roughly three-quarters of the backtested return, and we model taxes at short-term rates since the system trades monthly. Even with both haircuts, the compounding case remains strong.</w:t>
      </w:r>
    </w:p>
    <w:p>
      <w:pPr>
        <w:pStyle w:val="Heading1"/>
        <w:spacing w:after="140" w:before="280"/>
      </w:pPr>
      <w:r>
        <w:rPr>
          <w:rFonts w:ascii="Arial" w:cs="Arial" w:eastAsia="Arial" w:hAnsi="Arial"/>
          <w:b/>
          <w:bCs/>
          <w:color w:val="1F3864"/>
          <w:sz w:val="26"/>
          <w:szCs w:val="26"/>
        </w:rPr>
        <w:t xml:space="preserve">About the backtest — what's real and what's simulated</w:t>
      </w:r>
    </w:p>
    <w:p>
      <w:pPr>
        <w:spacing w:after="160"/>
      </w:pPr>
      <w:r>
        <w:rPr>
          <w:rFonts w:ascii="Arial" w:cs="Arial" w:eastAsia="Arial" w:hAnsi="Arial"/>
          <w:b w:val="false"/>
          <w:bCs w:val="false"/>
          <w:i w:val="false"/>
          <w:iCs w:val="false"/>
          <w:color w:val="000000"/>
          <w:sz w:val="21"/>
          <w:szCs w:val="21"/>
        </w:rPr>
        <w:t xml:space="preserve">The 2007–2026 test uses real fund prices wherever the funds existed. Leveraged funds launched around 2010; before that their returns are simulated with a standard method that we validated against the real funds after 2010 (and where the simulation disagreed with reality — one oil fund diverged badly in 2020 — we used the real, worse data). The separate 1987–2006 check uses equivalent older funds. Costs of trading are modeled; the season signal is always computed from completed months only, so the backtest never uses information it wouldn’t have had on the day. Two things a backtest cannot prove: that the future resembles the past, and that the person running it holds on during the ugly months. That second one is why the drop table above is in dollars.</w:t>
      </w:r>
    </w:p>
    <w:p>
      <w:pPr>
        <w:pStyle w:val="Heading1"/>
        <w:spacing w:after="140" w:before="280"/>
      </w:pPr>
      <w:r>
        <w:rPr>
          <w:rFonts w:ascii="Arial" w:cs="Arial" w:eastAsia="Arial" w:hAnsi="Arial"/>
          <w:b/>
          <w:bCs/>
          <w:color w:val="1F3864"/>
          <w:sz w:val="26"/>
          <w:szCs w:val="26"/>
        </w:rPr>
        <w:t xml:space="preserve">How it performed in the big moments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700"/>
        <w:gridCol w:w="1700"/>
        <w:gridCol w:w="1700"/>
      </w:tblGrid>
      <w:tr>
        <w:tc>
          <w:tcPr>
            <w:tcW w:type="dxa" w:w="1500"/>
            <w:shd w:fill="D9E2F3" w:val="clear"/>
            <w:tcMar>
              <w:top w:type="dxa" w:w="60"/>
              <w:left w:type="dxa" w:w="100"/>
              <w:bottom w:type="dxa" w:w="60"/>
              <w:right w:type="dxa" w:w="100"/>
            </w:tcMar>
          </w:tcPr>
          <w:p>
            <w:pPr>
              <w:jc w:val="left"/>
            </w:pPr>
            <w:r>
              <w:rPr>
                <w:rFonts w:ascii="Arial" w:cs="Arial" w:eastAsia="Arial" w:hAnsi="Arial"/>
                <w:b/>
                <w:bCs/>
                <w:sz w:val="19"/>
                <w:szCs w:val="19"/>
              </w:rPr>
              <w:t xml:space="preserve">Year</w:t>
            </w:r>
          </w:p>
        </w:tc>
        <w:tc>
          <w:tcPr>
            <w:tcW w:type="dxa" w:w="3100"/>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What happened</w:t>
            </w:r>
          </w:p>
        </w:tc>
        <w:tc>
          <w:tcPr>
            <w:tcW w:type="dxa" w:w="1700"/>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S&amp;P 500</w:t>
            </w:r>
          </w:p>
        </w:tc>
        <w:tc>
          <w:tcPr>
            <w:tcW w:type="dxa" w:w="1700"/>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Moderate</w:t>
            </w:r>
          </w:p>
        </w:tc>
        <w:tc>
          <w:tcPr>
            <w:tcW w:type="dxa" w:w="1700"/>
            <w:shd w:fill="D9E2F3" w:val="clear"/>
            <w:tcMar>
              <w:top w:type="dxa" w:w="60"/>
              <w:left w:type="dxa" w:w="100"/>
              <w:bottom w:type="dxa" w:w="60"/>
              <w:right w:type="dxa" w:w="100"/>
            </w:tcMar>
          </w:tcPr>
          <w:p>
            <w:pPr>
              <w:jc w:val="center"/>
            </w:pPr>
            <w:r>
              <w:rPr>
                <w:rFonts w:ascii="Arial" w:cs="Arial" w:eastAsia="Arial" w:hAnsi="Arial"/>
                <w:b/>
                <w:bCs/>
                <w:sz w:val="19"/>
                <w:szCs w:val="19"/>
              </w:rPr>
              <w:t xml:space="preserve">Very Aggressive</w:t>
            </w:r>
          </w:p>
        </w:tc>
      </w:tr>
      <w:tr>
        <w:tc>
          <w:tcPr>
            <w:tcW w:type="dxa" w:w="1500"/>
            <w:tcMar>
              <w:top w:type="dxa" w:w="60"/>
              <w:left w:type="dxa" w:w="100"/>
              <w:bottom w:type="dxa" w:w="60"/>
              <w:right w:type="dxa" w:w="100"/>
            </w:tcMar>
          </w:tcPr>
          <w:p>
            <w:pPr>
              <w:jc w:val="left"/>
            </w:pPr>
            <w:r>
              <w:rPr>
                <w:rFonts w:ascii="Arial" w:cs="Arial" w:eastAsia="Arial" w:hAnsi="Arial"/>
                <w:b/>
                <w:bCs/>
                <w:sz w:val="19"/>
                <w:szCs w:val="19"/>
              </w:rPr>
              <w:t xml:space="preserve">2008</w:t>
            </w:r>
          </w:p>
        </w:tc>
        <w:tc>
          <w:tcPr>
            <w:tcW w:type="dxa" w:w="3100"/>
            <w:tcMar>
              <w:top w:type="dxa" w:w="60"/>
              <w:left w:type="dxa" w:w="100"/>
              <w:bottom w:type="dxa" w:w="60"/>
              <w:right w:type="dxa" w:w="100"/>
            </w:tcMar>
          </w:tcPr>
          <w:p>
            <w:pPr>
              <w:jc w:val="center"/>
            </w:pPr>
            <w:r>
              <w:rPr>
                <w:rFonts w:ascii="Arial" w:cs="Arial" w:eastAsia="Arial" w:hAnsi="Arial"/>
                <w:b w:val="false"/>
                <w:bCs w:val="false"/>
                <w:sz w:val="19"/>
                <w:szCs w:val="19"/>
              </w:rPr>
              <w:t xml:space="preserve">Global financial crisis</w:t>
            </w:r>
          </w:p>
        </w:tc>
        <w:tc>
          <w:tcPr>
            <w:tcW w:type="dxa" w:w="1700"/>
            <w:tcMar>
              <w:top w:type="dxa" w:w="60"/>
              <w:left w:type="dxa" w:w="100"/>
              <w:bottom w:type="dxa" w:w="60"/>
              <w:right w:type="dxa" w:w="100"/>
            </w:tcMar>
          </w:tcPr>
          <w:p>
            <w:pPr>
              <w:jc w:val="center"/>
            </w:pPr>
            <w:r>
              <w:rPr>
                <w:rFonts w:ascii="Arial" w:cs="Arial" w:eastAsia="Arial" w:hAnsi="Arial"/>
                <w:b w:val="false"/>
                <w:bCs w:val="false"/>
                <w:sz w:val="19"/>
                <w:szCs w:val="19"/>
              </w:rPr>
              <w:t xml:space="preserve">−37%</w:t>
            </w:r>
          </w:p>
        </w:tc>
        <w:tc>
          <w:tcPr>
            <w:tcW w:type="dxa" w:w="1700"/>
            <w:tcMar>
              <w:top w:type="dxa" w:w="60"/>
              <w:left w:type="dxa" w:w="100"/>
              <w:bottom w:type="dxa" w:w="60"/>
              <w:right w:type="dxa" w:w="100"/>
            </w:tcMar>
          </w:tcPr>
          <w:p>
            <w:pPr>
              <w:jc w:val="center"/>
            </w:pPr>
            <w:r>
              <w:rPr>
                <w:rFonts w:ascii="Arial" w:cs="Arial" w:eastAsia="Arial" w:hAnsi="Arial"/>
                <w:b w:val="false"/>
                <w:bCs w:val="false"/>
                <w:sz w:val="19"/>
                <w:szCs w:val="19"/>
              </w:rPr>
              <w:t xml:space="preserve">+15%</w:t>
            </w:r>
          </w:p>
        </w:tc>
        <w:tc>
          <w:tcPr>
            <w:tcW w:type="dxa" w:w="1700"/>
            <w:tcMar>
              <w:top w:type="dxa" w:w="60"/>
              <w:left w:type="dxa" w:w="100"/>
              <w:bottom w:type="dxa" w:w="60"/>
              <w:right w:type="dxa" w:w="100"/>
            </w:tcMar>
          </w:tcPr>
          <w:p>
            <w:pPr>
              <w:jc w:val="center"/>
            </w:pPr>
            <w:r>
              <w:rPr>
                <w:rFonts w:ascii="Arial" w:cs="Arial" w:eastAsia="Arial" w:hAnsi="Arial"/>
                <w:b w:val="false"/>
                <w:bCs w:val="false"/>
                <w:sz w:val="19"/>
                <w:szCs w:val="19"/>
              </w:rPr>
              <w:t xml:space="preserve">+44%</w:t>
            </w:r>
          </w:p>
        </w:tc>
      </w:tr>
      <w:tr>
        <w:tc>
          <w:tcPr>
            <w:tcW w:type="dxa" w:w="1500"/>
            <w:tcMar>
              <w:top w:type="dxa" w:w="60"/>
              <w:left w:type="dxa" w:w="100"/>
              <w:bottom w:type="dxa" w:w="60"/>
              <w:right w:type="dxa" w:w="100"/>
            </w:tcMar>
          </w:tcPr>
          <w:p>
            <w:pPr>
              <w:jc w:val="left"/>
            </w:pPr>
            <w:r>
              <w:rPr>
                <w:rFonts w:ascii="Arial" w:cs="Arial" w:eastAsia="Arial" w:hAnsi="Arial"/>
                <w:b/>
                <w:bCs/>
                <w:sz w:val="19"/>
                <w:szCs w:val="19"/>
              </w:rPr>
              <w:t xml:space="preserve">2020</w:t>
            </w:r>
          </w:p>
        </w:tc>
        <w:tc>
          <w:tcPr>
            <w:tcW w:type="dxa" w:w="3100"/>
            <w:tcMar>
              <w:top w:type="dxa" w:w="60"/>
              <w:left w:type="dxa" w:w="100"/>
              <w:bottom w:type="dxa" w:w="60"/>
              <w:right w:type="dxa" w:w="100"/>
            </w:tcMar>
          </w:tcPr>
          <w:p>
            <w:pPr>
              <w:jc w:val="center"/>
            </w:pPr>
            <w:r>
              <w:rPr>
                <w:rFonts w:ascii="Arial" w:cs="Arial" w:eastAsia="Arial" w:hAnsi="Arial"/>
                <w:b w:val="false"/>
                <w:bCs w:val="false"/>
                <w:sz w:val="19"/>
                <w:szCs w:val="19"/>
              </w:rPr>
              <w:t xml:space="preserve">COVID crash &amp; rebound</w:t>
            </w:r>
          </w:p>
        </w:tc>
        <w:tc>
          <w:tcPr>
            <w:tcW w:type="dxa" w:w="1700"/>
            <w:tcMar>
              <w:top w:type="dxa" w:w="60"/>
              <w:left w:type="dxa" w:w="100"/>
              <w:bottom w:type="dxa" w:w="60"/>
              <w:right w:type="dxa" w:w="100"/>
            </w:tcMar>
          </w:tcPr>
          <w:p>
            <w:pPr>
              <w:jc w:val="center"/>
            </w:pPr>
            <w:r>
              <w:rPr>
                <w:rFonts w:ascii="Arial" w:cs="Arial" w:eastAsia="Arial" w:hAnsi="Arial"/>
                <w:b w:val="false"/>
                <w:bCs w:val="false"/>
                <w:sz w:val="19"/>
                <w:szCs w:val="19"/>
              </w:rPr>
              <w:t xml:space="preserve">+18%</w:t>
            </w:r>
          </w:p>
        </w:tc>
        <w:tc>
          <w:tcPr>
            <w:tcW w:type="dxa" w:w="1700"/>
            <w:tcMar>
              <w:top w:type="dxa" w:w="60"/>
              <w:left w:type="dxa" w:w="100"/>
              <w:bottom w:type="dxa" w:w="60"/>
              <w:right w:type="dxa" w:w="100"/>
            </w:tcMar>
          </w:tcPr>
          <w:p>
            <w:pPr>
              <w:jc w:val="center"/>
            </w:pPr>
            <w:r>
              <w:rPr>
                <w:rFonts w:ascii="Arial" w:cs="Arial" w:eastAsia="Arial" w:hAnsi="Arial"/>
                <w:b w:val="false"/>
                <w:bCs w:val="false"/>
                <w:sz w:val="19"/>
                <w:szCs w:val="19"/>
              </w:rPr>
              <w:t xml:space="preserve">+30%</w:t>
            </w:r>
          </w:p>
        </w:tc>
        <w:tc>
          <w:tcPr>
            <w:tcW w:type="dxa" w:w="1700"/>
            <w:tcMar>
              <w:top w:type="dxa" w:w="60"/>
              <w:left w:type="dxa" w:w="100"/>
              <w:bottom w:type="dxa" w:w="60"/>
              <w:right w:type="dxa" w:w="100"/>
            </w:tcMar>
          </w:tcPr>
          <w:p>
            <w:pPr>
              <w:jc w:val="center"/>
            </w:pPr>
            <w:r>
              <w:rPr>
                <w:rFonts w:ascii="Arial" w:cs="Arial" w:eastAsia="Arial" w:hAnsi="Arial"/>
                <w:b w:val="false"/>
                <w:bCs w:val="false"/>
                <w:sz w:val="19"/>
                <w:szCs w:val="19"/>
              </w:rPr>
              <w:t xml:space="preserve">+140%</w:t>
            </w:r>
          </w:p>
        </w:tc>
      </w:tr>
      <w:tr>
        <w:tc>
          <w:tcPr>
            <w:tcW w:type="dxa" w:w="1500"/>
            <w:tcMar>
              <w:top w:type="dxa" w:w="60"/>
              <w:left w:type="dxa" w:w="100"/>
              <w:bottom w:type="dxa" w:w="60"/>
              <w:right w:type="dxa" w:w="100"/>
            </w:tcMar>
          </w:tcPr>
          <w:p>
            <w:pPr>
              <w:jc w:val="left"/>
            </w:pPr>
            <w:r>
              <w:rPr>
                <w:rFonts w:ascii="Arial" w:cs="Arial" w:eastAsia="Arial" w:hAnsi="Arial"/>
                <w:b/>
                <w:bCs/>
                <w:sz w:val="19"/>
                <w:szCs w:val="19"/>
              </w:rPr>
              <w:t xml:space="preserve">2022</w:t>
            </w:r>
          </w:p>
        </w:tc>
        <w:tc>
          <w:tcPr>
            <w:tcW w:type="dxa" w:w="3100"/>
            <w:tcMar>
              <w:top w:type="dxa" w:w="60"/>
              <w:left w:type="dxa" w:w="100"/>
              <w:bottom w:type="dxa" w:w="60"/>
              <w:right w:type="dxa" w:w="100"/>
            </w:tcMar>
          </w:tcPr>
          <w:p>
            <w:pPr>
              <w:jc w:val="center"/>
            </w:pPr>
            <w:r>
              <w:rPr>
                <w:rFonts w:ascii="Arial" w:cs="Arial" w:eastAsia="Arial" w:hAnsi="Arial"/>
                <w:b w:val="false"/>
                <w:bCs w:val="false"/>
                <w:sz w:val="19"/>
                <w:szCs w:val="19"/>
              </w:rPr>
              <w:t xml:space="preserve">Inflation; stocks AND bonds fell</w:t>
            </w:r>
          </w:p>
        </w:tc>
        <w:tc>
          <w:tcPr>
            <w:tcW w:type="dxa" w:w="1700"/>
            <w:tcMar>
              <w:top w:type="dxa" w:w="60"/>
              <w:left w:type="dxa" w:w="100"/>
              <w:bottom w:type="dxa" w:w="60"/>
              <w:right w:type="dxa" w:w="100"/>
            </w:tcMar>
          </w:tcPr>
          <w:p>
            <w:pPr>
              <w:jc w:val="center"/>
            </w:pPr>
            <w:r>
              <w:rPr>
                <w:rFonts w:ascii="Arial" w:cs="Arial" w:eastAsia="Arial" w:hAnsi="Arial"/>
                <w:b w:val="false"/>
                <w:bCs w:val="false"/>
                <w:sz w:val="19"/>
                <w:szCs w:val="19"/>
              </w:rPr>
              <w:t xml:space="preserve">−18%</w:t>
            </w:r>
          </w:p>
        </w:tc>
        <w:tc>
          <w:tcPr>
            <w:tcW w:type="dxa" w:w="1700"/>
            <w:tcMar>
              <w:top w:type="dxa" w:w="60"/>
              <w:left w:type="dxa" w:w="100"/>
              <w:bottom w:type="dxa" w:w="60"/>
              <w:right w:type="dxa" w:w="100"/>
            </w:tcMar>
          </w:tcPr>
          <w:p>
            <w:pPr>
              <w:jc w:val="center"/>
            </w:pPr>
            <w:r>
              <w:rPr>
                <w:rFonts w:ascii="Arial" w:cs="Arial" w:eastAsia="Arial" w:hAnsi="Arial"/>
                <w:b w:val="false"/>
                <w:bCs w:val="false"/>
                <w:sz w:val="19"/>
                <w:szCs w:val="19"/>
              </w:rPr>
              <w:t xml:space="preserve">+1%</w:t>
            </w:r>
          </w:p>
        </w:tc>
        <w:tc>
          <w:tcPr>
            <w:tcW w:type="dxa" w:w="1700"/>
            <w:tcMar>
              <w:top w:type="dxa" w:w="60"/>
              <w:left w:type="dxa" w:w="100"/>
              <w:bottom w:type="dxa" w:w="60"/>
              <w:right w:type="dxa" w:w="100"/>
            </w:tcMar>
          </w:tcPr>
          <w:p>
            <w:pPr>
              <w:jc w:val="center"/>
            </w:pPr>
            <w:r>
              <w:rPr>
                <w:rFonts w:ascii="Arial" w:cs="Arial" w:eastAsia="Arial" w:hAnsi="Arial"/>
                <w:b w:val="false"/>
                <w:bCs w:val="false"/>
                <w:sz w:val="19"/>
                <w:szCs w:val="19"/>
              </w:rPr>
              <w:t xml:space="preserve">−31%</w:t>
            </w:r>
          </w:p>
        </w:tc>
      </w:tr>
      <w:tr>
        <w:tc>
          <w:tcPr>
            <w:tcW w:type="dxa" w:w="1500"/>
            <w:tcMar>
              <w:top w:type="dxa" w:w="60"/>
              <w:left w:type="dxa" w:w="100"/>
              <w:bottom w:type="dxa" w:w="60"/>
              <w:right w:type="dxa" w:w="100"/>
            </w:tcMar>
          </w:tcPr>
          <w:p>
            <w:pPr>
              <w:jc w:val="left"/>
            </w:pPr>
            <w:r>
              <w:rPr>
                <w:rFonts w:ascii="Arial" w:cs="Arial" w:eastAsia="Arial" w:hAnsi="Arial"/>
                <w:b/>
                <w:bCs/>
                <w:sz w:val="19"/>
                <w:szCs w:val="19"/>
              </w:rPr>
              <w:t xml:space="preserve">2025</w:t>
            </w:r>
          </w:p>
        </w:tc>
        <w:tc>
          <w:tcPr>
            <w:tcW w:type="dxa" w:w="3100"/>
            <w:tcMar>
              <w:top w:type="dxa" w:w="60"/>
              <w:left w:type="dxa" w:w="100"/>
              <w:bottom w:type="dxa" w:w="60"/>
              <w:right w:type="dxa" w:w="100"/>
            </w:tcMar>
          </w:tcPr>
          <w:p>
            <w:pPr>
              <w:jc w:val="center"/>
            </w:pPr>
            <w:r>
              <w:rPr>
                <w:rFonts w:ascii="Arial" w:cs="Arial" w:eastAsia="Arial" w:hAnsi="Arial"/>
                <w:b w:val="false"/>
                <w:bCs w:val="false"/>
                <w:sz w:val="19"/>
                <w:szCs w:val="19"/>
              </w:rPr>
              <w:t xml:space="preserve">Strong markets</w:t>
            </w:r>
          </w:p>
        </w:tc>
        <w:tc>
          <w:tcPr>
            <w:tcW w:type="dxa" w:w="1700"/>
            <w:tcMar>
              <w:top w:type="dxa" w:w="60"/>
              <w:left w:type="dxa" w:w="100"/>
              <w:bottom w:type="dxa" w:w="60"/>
              <w:right w:type="dxa" w:w="100"/>
            </w:tcMar>
          </w:tcPr>
          <w:p>
            <w:pPr>
              <w:jc w:val="center"/>
            </w:pPr>
            <w:r>
              <w:rPr>
                <w:rFonts w:ascii="Arial" w:cs="Arial" w:eastAsia="Arial" w:hAnsi="Arial"/>
                <w:b w:val="false"/>
                <w:bCs w:val="false"/>
                <w:sz w:val="19"/>
                <w:szCs w:val="19"/>
              </w:rPr>
              <w:t xml:space="preserve">+18%</w:t>
            </w:r>
          </w:p>
        </w:tc>
        <w:tc>
          <w:tcPr>
            <w:tcW w:type="dxa" w:w="1700"/>
            <w:tcMar>
              <w:top w:type="dxa" w:w="60"/>
              <w:left w:type="dxa" w:w="100"/>
              <w:bottom w:type="dxa" w:w="60"/>
              <w:right w:type="dxa" w:w="100"/>
            </w:tcMar>
          </w:tcPr>
          <w:p>
            <w:pPr>
              <w:jc w:val="center"/>
            </w:pPr>
            <w:r>
              <w:rPr>
                <w:rFonts w:ascii="Arial" w:cs="Arial" w:eastAsia="Arial" w:hAnsi="Arial"/>
                <w:b w:val="false"/>
                <w:bCs w:val="false"/>
                <w:sz w:val="19"/>
                <w:szCs w:val="19"/>
              </w:rPr>
              <w:t xml:space="preserve">+30%</w:t>
            </w:r>
          </w:p>
        </w:tc>
        <w:tc>
          <w:tcPr>
            <w:tcW w:type="dxa" w:w="1700"/>
            <w:tcMar>
              <w:top w:type="dxa" w:w="60"/>
              <w:left w:type="dxa" w:w="100"/>
              <w:bottom w:type="dxa" w:w="60"/>
              <w:right w:type="dxa" w:w="100"/>
            </w:tcMar>
          </w:tcPr>
          <w:p>
            <w:pPr>
              <w:jc w:val="center"/>
            </w:pPr>
            <w:r>
              <w:rPr>
                <w:rFonts w:ascii="Arial" w:cs="Arial" w:eastAsia="Arial" w:hAnsi="Arial"/>
                <w:b w:val="false"/>
                <w:bCs w:val="false"/>
                <w:sz w:val="19"/>
                <w:szCs w:val="19"/>
              </w:rPr>
              <w:t xml:space="preserve">+50%</w:t>
            </w:r>
          </w:p>
        </w:tc>
      </w:tr>
      <w:tr>
        <w:tc>
          <w:tcPr>
            <w:tcW w:type="dxa" w:w="1500"/>
            <w:tcMar>
              <w:top w:type="dxa" w:w="60"/>
              <w:left w:type="dxa" w:w="100"/>
              <w:bottom w:type="dxa" w:w="60"/>
              <w:right w:type="dxa" w:w="100"/>
            </w:tcMar>
          </w:tcPr>
          <w:p>
            <w:pPr>
              <w:jc w:val="left"/>
            </w:pPr>
            <w:r>
              <w:rPr>
                <w:rFonts w:ascii="Arial" w:cs="Arial" w:eastAsia="Arial" w:hAnsi="Arial"/>
                <w:b/>
                <w:bCs/>
                <w:sz w:val="19"/>
                <w:szCs w:val="19"/>
              </w:rPr>
              <w:t xml:space="preserve">2026 (to Sep)</w:t>
            </w:r>
          </w:p>
        </w:tc>
        <w:tc>
          <w:tcPr>
            <w:tcW w:type="dxa" w:w="3100"/>
            <w:tcMar>
              <w:top w:type="dxa" w:w="60"/>
              <w:left w:type="dxa" w:w="100"/>
              <w:bottom w:type="dxa" w:w="60"/>
              <w:right w:type="dxa" w:w="100"/>
            </w:tcMar>
          </w:tcPr>
          <w:p>
            <w:pPr>
              <w:jc w:val="center"/>
            </w:pPr>
            <w:r>
              <w:rPr>
                <w:rFonts w:ascii="Arial" w:cs="Arial" w:eastAsia="Arial" w:hAnsi="Arial"/>
                <w:b w:val="false"/>
                <w:bCs w:val="false"/>
                <w:sz w:val="19"/>
                <w:szCs w:val="19"/>
              </w:rPr>
              <w:t xml:space="preserve">Commodity-led rally</w:t>
            </w:r>
          </w:p>
        </w:tc>
        <w:tc>
          <w:tcPr>
            <w:tcW w:type="dxa" w:w="1700"/>
            <w:tcMar>
              <w:top w:type="dxa" w:w="60"/>
              <w:left w:type="dxa" w:w="100"/>
              <w:bottom w:type="dxa" w:w="60"/>
              <w:right w:type="dxa" w:w="100"/>
            </w:tcMar>
          </w:tcPr>
          <w:p>
            <w:pPr>
              <w:jc w:val="center"/>
            </w:pPr>
            <w:r>
              <w:rPr>
                <w:rFonts w:ascii="Arial" w:cs="Arial" w:eastAsia="Arial" w:hAnsi="Arial"/>
                <w:b w:val="false"/>
                <w:bCs w:val="false"/>
                <w:sz w:val="19"/>
                <w:szCs w:val="19"/>
              </w:rPr>
              <w:t xml:space="preserve">+14%</w:t>
            </w:r>
          </w:p>
        </w:tc>
        <w:tc>
          <w:tcPr>
            <w:tcW w:type="dxa" w:w="1700"/>
            <w:tcMar>
              <w:top w:type="dxa" w:w="60"/>
              <w:left w:type="dxa" w:w="100"/>
              <w:bottom w:type="dxa" w:w="60"/>
              <w:right w:type="dxa" w:w="100"/>
            </w:tcMar>
          </w:tcPr>
          <w:p>
            <w:pPr>
              <w:jc w:val="center"/>
            </w:pPr>
            <w:r>
              <w:rPr>
                <w:rFonts w:ascii="Arial" w:cs="Arial" w:eastAsia="Arial" w:hAnsi="Arial"/>
                <w:b w:val="false"/>
                <w:bCs w:val="false"/>
                <w:sz w:val="19"/>
                <w:szCs w:val="19"/>
              </w:rPr>
              <w:t xml:space="preserve">+20%</w:t>
            </w:r>
          </w:p>
        </w:tc>
        <w:tc>
          <w:tcPr>
            <w:tcW w:type="dxa" w:w="1700"/>
            <w:tcMar>
              <w:top w:type="dxa" w:w="60"/>
              <w:left w:type="dxa" w:w="100"/>
              <w:bottom w:type="dxa" w:w="60"/>
              <w:right w:type="dxa" w:w="100"/>
            </w:tcMar>
          </w:tcPr>
          <w:p>
            <w:pPr>
              <w:jc w:val="center"/>
            </w:pPr>
            <w:r>
              <w:rPr>
                <w:rFonts w:ascii="Arial" w:cs="Arial" w:eastAsia="Arial" w:hAnsi="Arial"/>
                <w:b w:val="false"/>
                <w:bCs w:val="false"/>
                <w:sz w:val="19"/>
                <w:szCs w:val="19"/>
              </w:rPr>
              <w:t xml:space="preserve">+33%</w:t>
            </w:r>
          </w:p>
        </w:tc>
      </w:tr>
    </w:tbl>
    <w:p>
      <w:pPr>
        <w:spacing w:after="120"/>
      </w:pPr>
    </w:p>
    <w:p>
      <w:pPr>
        <w:spacing w:after="160"/>
      </w:pPr>
      <w:r>
        <w:rPr>
          <w:rFonts w:ascii="Arial" w:cs="Arial" w:eastAsia="Arial" w:hAnsi="Arial"/>
          <w:b w:val="false"/>
          <w:bCs w:val="false"/>
          <w:i w:val="false"/>
          <w:iCs w:val="false"/>
          <w:color w:val="000000"/>
          <w:sz w:val="21"/>
          <w:szCs w:val="21"/>
        </w:rPr>
        <w:t xml:space="preserve">The pattern to notice: in 2008 the system sat in bonds and gold while the index lost a third — that is the season signal doing its job. 2022 shows the honest limit: when inflation broke stocks and bonds at the same time, the leveraged version still lost 31% (the index lost 18%). The system reduces how often you get hurt; it does not make losing years impossible. And the 2020 leveraged figure (+140%) leans on simulated leverage math and gold miners in a wild year — treat it as the backtest’s best case, not its base case.</w:t>
      </w:r>
    </w:p>
    <w:p>
      <w:r>
        <w:br w:type="page"/>
      </w:r>
    </w:p>
    <w:p>
      <w:pPr>
        <w:pStyle w:val="Heading1"/>
        <w:spacing w:after="140" w:before="280"/>
      </w:pPr>
      <w:r>
        <w:rPr>
          <w:rFonts w:ascii="Arial" w:cs="Arial" w:eastAsia="Arial" w:hAnsi="Arial"/>
          <w:b/>
          <w:bCs/>
          <w:color w:val="1F3864"/>
          <w:sz w:val="26"/>
          <w:szCs w:val="26"/>
        </w:rPr>
        <w:t xml:space="preserve">The risks, plainly</w:t>
      </w:r>
    </w:p>
    <w:p>
      <w:pPr>
        <w:pStyle w:val="ListParagraph"/>
        <w:numPr>
          <w:ilvl w:val="0"/>
          <w:numId w:val="2"/>
        </w:numPr>
        <w:spacing w:after="160"/>
      </w:pPr>
      <w:r>
        <w:rPr>
          <w:rFonts w:ascii="Arial" w:cs="Arial" w:eastAsia="Arial" w:hAnsi="Arial"/>
          <w:b w:val="false"/>
          <w:bCs w:val="false"/>
          <w:i w:val="false"/>
          <w:iCs w:val="false"/>
          <w:color w:val="000000"/>
          <w:sz w:val="21"/>
          <w:szCs w:val="21"/>
        </w:rPr>
        <w:t xml:space="preserve">The model can simply stop working. Every rule here is built from history; markets can change. This is the biggest risk and no backtest removes it.</w:t>
      </w:r>
    </w:p>
    <w:p>
      <w:pPr>
        <w:pStyle w:val="ListParagraph"/>
        <w:numPr>
          <w:ilvl w:val="0"/>
          <w:numId w:val="2"/>
        </w:numPr>
        <w:spacing w:after="160"/>
      </w:pPr>
      <w:r>
        <w:rPr>
          <w:rFonts w:ascii="Arial" w:cs="Arial" w:eastAsia="Arial" w:hAnsi="Arial"/>
          <w:b w:val="false"/>
          <w:bCs w:val="false"/>
          <w:i w:val="false"/>
          <w:iCs w:val="false"/>
          <w:color w:val="000000"/>
          <w:sz w:val="21"/>
          <w:szCs w:val="21"/>
        </w:rPr>
        <w:t xml:space="preserve">The drops are real. The aggressive versions have backtested drops of 33–47%, and the out-of-sample period showed a 60% drop for the highest tier. If you would sell in a panic partway down, the drop table — not the return table — is your table.</w:t>
      </w:r>
    </w:p>
    <w:p>
      <w:pPr>
        <w:pStyle w:val="ListParagraph"/>
        <w:numPr>
          <w:ilvl w:val="0"/>
          <w:numId w:val="2"/>
        </w:numPr>
        <w:spacing w:after="160"/>
      </w:pPr>
      <w:r>
        <w:rPr>
          <w:rFonts w:ascii="Arial" w:cs="Arial" w:eastAsia="Arial" w:hAnsi="Arial"/>
          <w:b w:val="false"/>
          <w:bCs w:val="false"/>
          <w:i w:val="false"/>
          <w:iCs w:val="false"/>
          <w:color w:val="000000"/>
          <w:sz w:val="21"/>
          <w:szCs w:val="21"/>
        </w:rPr>
        <w:t xml:space="preserve">Leveraged funds carry extra risks: daily-reset math erodes them in choppy markets, and a single catastrophic day (a 1987-style crash) would hit the highest tier far harder than any backtest shows.</w:t>
      </w:r>
    </w:p>
    <w:p>
      <w:pPr>
        <w:pStyle w:val="ListParagraph"/>
        <w:numPr>
          <w:ilvl w:val="0"/>
          <w:numId w:val="2"/>
        </w:numPr>
        <w:spacing w:after="160"/>
      </w:pPr>
      <w:r>
        <w:rPr>
          <w:rFonts w:ascii="Arial" w:cs="Arial" w:eastAsia="Arial" w:hAnsi="Arial"/>
          <w:b w:val="false"/>
          <w:bCs w:val="false"/>
          <w:i w:val="false"/>
          <w:iCs w:val="false"/>
          <w:color w:val="000000"/>
          <w:sz w:val="21"/>
          <w:szCs w:val="21"/>
        </w:rPr>
        <w:t xml:space="preserve">Taxes: monthly trading means gains are mostly taxed at the higher short-term rate. This is modeled in the planning numbers but it is a real drag versus buy-and-hold.</w:t>
      </w:r>
    </w:p>
    <w:p>
      <w:pPr>
        <w:pStyle w:val="ListParagraph"/>
        <w:numPr>
          <w:ilvl w:val="0"/>
          <w:numId w:val="2"/>
        </w:numPr>
        <w:spacing w:after="160"/>
      </w:pPr>
      <w:r>
        <w:rPr>
          <w:rFonts w:ascii="Arial" w:cs="Arial" w:eastAsia="Arial" w:hAnsi="Arial"/>
          <w:b w:val="false"/>
          <w:bCs w:val="false"/>
          <w:i w:val="false"/>
          <w:iCs w:val="false"/>
          <w:color w:val="000000"/>
          <w:sz w:val="21"/>
          <w:szCs w:val="21"/>
        </w:rPr>
        <w:t xml:space="preserve">Key-person risk: this is operated by one person with automation being phased in. If the process stops being followed, the results do not apply.</w:t>
      </w:r>
    </w:p>
    <w:p>
      <w:pPr>
        <w:pStyle w:val="ListParagraph"/>
        <w:numPr>
          <w:ilvl w:val="0"/>
          <w:numId w:val="2"/>
        </w:numPr>
        <w:spacing w:after="160"/>
      </w:pPr>
      <w:r>
        <w:rPr>
          <w:rFonts w:ascii="Arial" w:cs="Arial" w:eastAsia="Arial" w:hAnsi="Arial"/>
          <w:b w:val="false"/>
          <w:bCs w:val="false"/>
          <w:i w:val="false"/>
          <w:iCs w:val="false"/>
          <w:color w:val="000000"/>
          <w:sz w:val="21"/>
          <w:szCs w:val="21"/>
        </w:rPr>
        <w:t xml:space="preserve">Not investment advice: this document describes a personal research project and a personal portfolio. It is shared for discussion, not as a recommendation. Past performance — especially simulated past performance — does not guarantee future results. Anyone considering this should only use money they can leave invested for years and can watch drop by the amounts in the risk table without needing it back.</w:t>
      </w:r>
    </w:p>
    <w:p>
      <w:pPr>
        <w:spacing w:after="120"/>
      </w:pPr>
    </w:p>
    <w:p>
      <w:pPr>
        <w:spacing w:after="160"/>
      </w:pPr>
      <w:r>
        <w:rPr>
          <w:rFonts w:ascii="Arial" w:cs="Arial" w:eastAsia="Arial" w:hAnsi="Arial"/>
          <w:b w:val="false"/>
          <w:bCs w:val="false"/>
          <w:i/>
          <w:iCs/>
          <w:color w:val="595959"/>
          <w:sz w:val="21"/>
          <w:szCs w:val="21"/>
        </w:rPr>
        <w:t xml:space="preserve">Verification: every monthly decision since August 2026 is logged, timestamped, in an append-only record before any trade happens, alongside the exact target portfolios for all four risk versions. The live account is graded against that record — so within a few months there will be a track record that requires no trust in backtests at all.</w:t>
      </w:r>
    </w:p>
    <w:sectPr>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2026-10-08T14:10:53.406Z</dcterms:created>
  <dcterms:modified xsi:type="dcterms:W3CDTF">2026-10-08T14:10:53.407Z</dcterms:modified>
</cp:coreProperties>
</file>

<file path=docProps/custom.xml><?xml version="1.0" encoding="utf-8"?>
<Properties xmlns="http://schemas.openxmlformats.org/officeDocument/2006/custom-properties" xmlns:vt="http://schemas.openxmlformats.org/officeDocument/2006/docPropsVTypes"/>
</file>