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9A227"/>
          <w:sz w:val="26"/>
          <w:szCs w:val="26"/>
        </w:rPr>
        <w:t xml:space="preserve">IMPLEMENTATION SPECIFICATION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44"/>
          <w:szCs w:val="44"/>
        </w:rPr>
        <w:t xml:space="preserve">Winner-Pattern Score (WPS)</w:t>
      </w:r>
    </w:p>
    <w:p>
      <w:pPr>
        <w:pBdr>
          <w:bottom w:val="single" w:color="C9A227" w:sz="12" w:space="4"/>
        </w:pBdr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4"/>
          <w:szCs w:val="24"/>
        </w:rPr>
        <w:t xml:space="preserve">A New Scoring Layer for the Structural-Growth Stock Screener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Encodes the shared traits of four validated winners — ADTN, MRAM, MXL, XMTR — into a ranked, explainable pattern-match score.</w:t>
      </w:r>
    </w:p>
    <w:p>
      <w:pPr>
        <w:spacing w:after="20" w:before="5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19"/>
          <w:szCs w:val="19"/>
        </w:rPr>
        <w:t xml:space="preserve">Audience: Claude Code (implementation agent)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9"/>
          <w:szCs w:val="19"/>
        </w:rPr>
        <w:t xml:space="preserve">Target repo: Python / Streamlit screener (FMP API data source)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9"/>
          <w:szCs w:val="19"/>
        </w:rPr>
        <w:t xml:space="preserve">Existing references: stock-screener-spec.md, CLAUDE.md</w:t>
      </w:r>
    </w:p>
    <w:p>
      <w:pPr>
        <w:spacing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19"/>
          <w:szCs w:val="19"/>
        </w:rPr>
        <w:t xml:space="preserve">Version 1.0  ·  June 2026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30"/>
          <w:szCs w:val="30"/>
        </w:rPr>
        <w:t xml:space="preserve">1. Context &amp; Objective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The screener already computes a proprietary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composite score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and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fingerprint similarity score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(versus reference multi-baggers) from Financial Modeling Prep (FMP) API data. This spec adds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0"/>
          <w:szCs w:val="20"/>
        </w:rPr>
        <w:t xml:space="preserve">new, parallel scoring layer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called the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0"/>
          <w:szCs w:val="20"/>
        </w:rPr>
        <w:t xml:space="preserve">Winner-Pattern Score (WPS)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. WPS does not replace or modify the existing scores; it sits alongside them.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WPS encodes the reverse-engineered DNA of four validated winners from this screener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ADTN, MRAM, MXL, and XMTR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. The goal is to surface new candidates that structurally resemble those winners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22222"/>
          <w:sz w:val="20"/>
          <w:szCs w:val="20"/>
        </w:rPr>
        <w:t xml:space="preserve">before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they re-rate, and to filter out look-alikes that lack the one trait that separated the winners from value traps: balance-sheet quality.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Primary Deliverables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30"/>
          <w:szCs w:val="30"/>
        </w:rPr>
        <w:t xml:space="preserve">2. The Pattern to Encode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The four winners shared six traits. Each becomes a sub-score (0–100); the weighted sum is the WPS.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820"/>
        <w:gridCol w:w="3000"/>
        <w:gridCol w:w="2920"/>
      </w:tblGrid>
      <w:tr>
        <w:trPr>
          <w:tblHeader/>
        </w:trP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Trait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Measures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Primary Data Signals</w:t>
            </w:r>
          </w:p>
        </w:tc>
      </w:tr>
      <w:t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Cyclical / Profitability Inflection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25%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Coming off a trough and turning up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5"/>
                <w:szCs w:val="15"/>
              </w:rPr>
              <w:t xml:space="preserve">YoY revenue growth turning positive after a decline; QoQ acceleration; net/op margin crossing into positive</w:t>
            </w:r>
          </w:p>
        </w:tc>
      </w:tr>
      <w:t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Structural Tailwind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20%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Multi-year secular demand driver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5"/>
                <w:szCs w:val="15"/>
              </w:rPr>
              <w:t xml:space="preserve">Sector/keyword tag (defense, fiber/BEAD, semis, AI infra, security, reshoring) + multi-yr revenue CAGR vs sector median</w:t>
            </w:r>
          </w:p>
        </w:tc>
      </w:tr>
      <w:t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Margin Inflection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20%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Operating leverage showing up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5"/>
                <w:szCs w:val="15"/>
              </w:rPr>
              <w:t xml:space="preserve">Gross-margin Δ YoY (pp); operating-margin Δ YoY (pp); incremental margin (Δ op income ÷ Δ revenue)</w:t>
            </w:r>
          </w:p>
        </w:tc>
      </w:tr>
      <w:t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Balance-Sheet Quality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20%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Survives the trough; no forced dilution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5"/>
                <w:szCs w:val="15"/>
              </w:rPr>
              <w:t xml:space="preserve">Net cash (cash − total debt); net-cash ÷ market cap; current ratio; share-count Δ YoY (dilution penalty)</w:t>
            </w:r>
          </w:p>
        </w:tc>
      </w:tr>
      <w:t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Beaten-Down Entry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10%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Not bought after the run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5"/>
                <w:szCs w:val="15"/>
              </w:rPr>
              <w:t xml:space="preserve">% off 52-wk high; 6-month return (reward negative); distance above 52-wk low</w:t>
            </w:r>
          </w:p>
        </w:tc>
      </w:tr>
      <w:tr>
        <w:tc>
          <w:tcPr>
            <w:tcW w:type="dxa" w:w="4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Under-Followed / Re-rate Room</w:t>
            </w:r>
          </w:p>
        </w:tc>
        <w:tc>
          <w:tcPr>
            <w:tcW w:type="dxa" w:w="8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5%</w:t>
            </w:r>
          </w:p>
        </w:tc>
        <w:tc>
          <w:tcPr>
            <w:tcW w:type="dxa" w:w="30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6"/>
                <w:szCs w:val="16"/>
              </w:rPr>
              <w:t xml:space="preserve">Discovery potential</w:t>
            </w:r>
          </w:p>
        </w:tc>
        <w:tc>
          <w:tcPr>
            <w:tcW w:type="dxa" w:w="292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5"/>
                <w:szCs w:val="15"/>
              </w:rPr>
              <w:t xml:space="preserve">Market cap (smaller = higher); analyst count (fewer = higher); avg daily $ volume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/>
      </w:r>
    </w:p>
    <w:p>
      <w:pPr>
        <w:pBdr>
          <w:left w:val="single" w:color="B23A48" w:sz="18" w:space="8"/>
        </w:pBdr>
        <w:shd w:fill="FBEEF0" w:val="clear"/>
        <w:spacing w:after="80" w:before="80"/>
        <w:ind w:left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23A48"/>
          <w:sz w:val="19"/>
          <w:szCs w:val="19"/>
        </w:rPr>
        <w:t xml:space="preserve">CRITICAL DESIGN RULE — THE BALANCE-SHEET GATE.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Trait 4 is the trait that separated winners from traps. Implement it as a gate, not just a weight. If a company has negative net cash AND is burning cash AND diluted &gt;15% YoY, cap total WPS at 50 regardless of other sub-scores, and set balance_sheet_gate = True. This prevents cash-burning story stocks (the BZAI/KULR profile) from scoring like real winners.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30"/>
          <w:szCs w:val="30"/>
        </w:rPr>
        <w:t xml:space="preserve">3. Implementation Instructions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3.1  New Module &amp; Function Signature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Create winner_pattern.py exposing: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4" w:sz="4"/>
              <w:left w:val="single" w:color="C9A227" w:sz="18" w:space="4"/>
              <w:bottom w:val="single" w:color="D9DEE4" w:sz="4"/>
              <w:right w:val="single" w:color="D9DEE4" w:sz="4"/>
            </w:tcBorders>
            <w:shd w:fill="F4F1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" w:before="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def compute_winner_pattern_score(ticker_data: dict) -&gt; dict: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"""Score one candidate against the winner pattern."""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return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'wps': float,                   # 0-100 weighted total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'subscores': {                  # the six 0-100 components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'inflection': float,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'tailwind': float,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'margin': float,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'balance_sheet': float,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'beaten_down': float,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'under_followed': float,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},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'balance_sheet_gate': bool,     # True =&gt; WPS capped at 50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'pattern_match': str,           # 'MXL-type'|'MRAM-type'|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                        # 'XMTR-type'|'ADTN-type'|'none'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'flags': list,                  # e.g. ['DATA_INCOMPLETE']</w:t>
            </w:r>
          </w:p>
          <w:p>
            <w:pPr>
              <w:spacing w:after="60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}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3.2  Sub-Score Normalization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Each sub-score is 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0–100 percentile rank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computed across the current screened universe (not absolute thresholds), so it self-calibrates per run.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Define the “good” direction explicitly per metric. Examples: 6-month return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more negative = higher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(Beaten-Down); revenue acceleration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more positive = higher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; dilution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more negative share-count Δ = higher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(Balance Sheet).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Where a trait blends multiple metrics, average the individual percentile ranks (equal-weight within the trait unless noted).</w:t>
      </w:r>
    </w:p>
    <w:p>
      <w:pPr>
        <w:pBdr>
          <w:left w:val="single" w:color="3E7CB1" w:sz="14" w:space="8"/>
        </w:pBdr>
        <w:shd w:fill="F2F5F8" w:val="clear"/>
        <w:spacing w:after="60" w:before="60"/>
        <w:ind w:left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E7CB1"/>
          <w:sz w:val="18"/>
          <w:szCs w:val="18"/>
        </w:rPr>
        <w:t xml:space="preserve">DECISION TO CONFIRM: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Percentile ranking self-calibrates each run but makes a name’s WPS shift depending on the day’s universe. If stable, comparable-across-time scores are preferred, use absolute thresholds calibrated to the four winners instead. Recommended: percentile for discovery, absolute for tracking. Default to percentile unless instructed otherwise.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3.3  Pattern-Archetype Classifier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After computing sub-scores, tag which winner each candidate most resembles via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cosine similarity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between the candidate’s six-trait vector and a hardcoded reference vector per archetype. Derive the reference vectors by scoring ADTN, MRAM, MXL, XMTR first and storing their own six-trait vectors as templates.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Archetype</w:t>
            </w:r>
          </w:p>
        </w:tc>
        <w:tc>
          <w:tcPr>
            <w:tcW w:type="dxa" w:w="74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Reference Profile (high-weight traits + tag)</w:t>
            </w:r>
          </w:p>
        </w:tc>
      </w:tr>
      <w:tr>
        <w:tc>
          <w:tcPr>
            <w:tcW w:type="dxa" w:w="1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MXL-type</w:t>
            </w:r>
          </w:p>
        </w:tc>
        <w:tc>
          <w:tcPr>
            <w:tcW w:type="dxa" w:w="74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7"/>
                <w:szCs w:val="17"/>
              </w:rPr>
              <w:t xml:space="preserve">High Inflection + high Margin-Inflection + semiconductor/hardware tag (cyclical semi recovery)</w:t>
            </w:r>
          </w:p>
        </w:tc>
      </w:tr>
      <w:tr>
        <w:tc>
          <w:tcPr>
            <w:tcW w:type="dxa" w:w="1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MRAM-type</w:t>
            </w:r>
          </w:p>
        </w:tc>
        <w:tc>
          <w:tcPr>
            <w:tcW w:type="dxa" w:w="74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7"/>
                <w:szCs w:val="17"/>
              </w:rPr>
              <w:t xml:space="preserve">High Balance-Sheet + defense/niche tag + positive revenue ramp + small cap (net-cash niche play)</w:t>
            </w:r>
          </w:p>
        </w:tc>
      </w:tr>
      <w:tr>
        <w:tc>
          <w:tcPr>
            <w:tcW w:type="dxa" w:w="1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XMTR-type</w:t>
            </w:r>
          </w:p>
        </w:tc>
        <w:tc>
          <w:tcPr>
            <w:tcW w:type="dxa" w:w="74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7"/>
                <w:szCs w:val="17"/>
              </w:rPr>
              <w:t xml:space="preserve">Platform/software tag + margin crossing to positive + recurring-revenue signal (profitability inflection)</w:t>
            </w:r>
          </w:p>
        </w:tc>
      </w:tr>
      <w:tr>
        <w:tc>
          <w:tcPr>
            <w:tcW w:type="dxa" w:w="19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3A5F"/>
                <w:sz w:val="17"/>
                <w:szCs w:val="17"/>
              </w:rPr>
              <w:t xml:space="preserve">ADTN-type</w:t>
            </w:r>
          </w:p>
        </w:tc>
        <w:tc>
          <w:tcPr>
            <w:tcW w:type="dxa" w:w="74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222"/>
                <w:sz w:val="17"/>
                <w:szCs w:val="17"/>
              </w:rPr>
              <w:t xml:space="preserve">High Beaten-Down + high Inflection + comms/infra tag + deleveraging event (turnaround recovery)</w:t>
            </w:r>
          </w:p>
        </w:tc>
      </w:tr>
    </w:tbl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7"/>
          <w:szCs w:val="17"/>
        </w:rPr>
        <w:t xml:space="preserve">Assign 'none' if the best cosine similarity is below 0.80 (tunable). Tie-break by highest WPS-relevant trait overlap.</w:t>
      </w:r>
    </w:p>
    <w:p>
      <w:r>
        <w:br w:type="page"/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3.4  Data Required from FMP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Add to the existing fetch if not already pulled; cache per ticker to respect rate limits: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Income statement — 3 years annual + last 4 quarters (revenue, gross profit, operating income, net income).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Balance sheet — cash &amp; equivalents, total debt, current ratio inputs, shares outstanding (current + year-ago).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Price history — 52-week high/low and 6-month trailing return.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Company profile — sector/industry, analyst coverage count, average daily volume.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3.5  Sector / Tailwind Tagging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Add a keyword-map dict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STRUCTURAL_TAGS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matching company description/industry to tailwind categories (defense, fiber/BEAD, semis, AI infra, security, reshoring, space). Default any unmatched name to a tailwind sub-score of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40 (neutral)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, never 0.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3.6  Integration into the Existing 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Add output dataframe columns: WPS, Pattern_Match, BS_Gate, plus the six sub-scores.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Streamlit UI: (a) sortable WPS column; (b) Pattern_Match archetype filter; (c) toggle to exclude balance_sheet_gate=True names; (d) radar or bar chart of the six sub-scores for any selected ticker.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Keep the existing composite and fingerprint scores untouched and displayed alongside — WPS is purely additive.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3.7  Validation Step (before finalizing)</w:t>
      </w:r>
    </w:p>
    <w:p>
      <w:pPr>
        <w:pBdr>
          <w:left w:val="single" w:color="2E7D52" w:sz="18" w:space="8"/>
        </w:pBdr>
        <w:shd w:fill="EAF1E9" w:val="clear"/>
        <w:spacing w:after="80" w:before="60"/>
        <w:ind w:left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Run the four reference winners (ADTN, MRAM, MXL, XMTR) through the scorer.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7D52"/>
          <w:sz w:val="19"/>
          <w:szCs w:val="19"/>
        </w:rPr>
        <w:t xml:space="preserve">All four must score WPS &gt; 70.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 If any score below 70, the weights/normalizations are miscalibrated — surface this and propose adjustments rather than silently shipping. Run BZAI and KULR as negative controls: both should trip the balance-sheet gate and score materially lower.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Prefer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point-in-time / pre-run fundamentals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for the four winners if FMP exposes them — scoring them on today’s numbers is circular since they have already won. If only current data is available, note that limitation in the validation output.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3.8  Explainability Output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Add an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--explain TICKER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CLI flag (and a UI expander) that prints each sub-score, why it scored that way, the archetype match, and any flags. Reasoning must be visible, not just the number. Illustrative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4" w:sz="4"/>
              <w:left w:val="single" w:color="C9A227" w:sz="18" w:space="4"/>
              <w:bottom w:val="single" w:color="D9DEE4" w:sz="4"/>
              <w:right w:val="single" w:color="D9DEE4" w:sz="4"/>
            </w:tcBorders>
            <w:shd w:fill="F4F1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" w:before="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$ python screener.py --explain INTT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INTT  inTEST Corp        WPS 78.4   Pattern: MXL-type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Inflection      88  ↑ returned to profit; GM 41→45.5%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Tailwind        72  semis + 69% non-semi (defense/life-sci)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Margin          81  +4.3pp GM YoY; incremental margin strong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Balance Sheet   64  modest net debt; current ratio ok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Beaten-Down     35  already +165% 1Y — late in re-rate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Under-Followed  70  ~$216M cap; thin coverage</w:t>
            </w:r>
          </w:p>
          <w:p>
            <w:pPr>
              <w:spacing w:after="60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Gate: PASS   Flags: none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30"/>
          <w:szCs w:val="30"/>
        </w:rPr>
        <w:t xml:space="preserve">4. Constraints &amp; Guardrails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Do not break or modify the existing composite/fingerprint scoring — WPS is a parallel layer.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Keep ALL weights and thresholds in a single CONFIG dict at the top of winner_pattern.py so they can be tuned without hunting through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Handle missing FMP fields gracefully: substitute a neutral 40 sub-score and append a DATA_INCOMPLETE flag — never crash, never silently use 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Comment the rationale for each trait inline so the logic is self-documenting.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No hardcoded ticker-specific logic except the four reference template vectors and the validation controls.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30"/>
          <w:szCs w:val="30"/>
        </w:rPr>
        <w:t xml:space="preserve">5. Starter Config (suggested)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19"/>
          <w:szCs w:val="19"/>
        </w:rPr>
        <w:t xml:space="preserve">A recommended starting point for the CONFIG dict. Tune after the validation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4" w:sz="4"/>
              <w:left w:val="single" w:color="C9A227" w:sz="18" w:space="4"/>
              <w:bottom w:val="single" w:color="D9DEE4" w:sz="4"/>
              <w:right w:val="single" w:color="D9DEE4" w:sz="4"/>
            </w:tcBorders>
            <w:shd w:fill="F4F1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" w:before="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CONFIG =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'weights': {                  # must sum to 1.0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'inflection':     0.25,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'tailwind':       0.20,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'margin':         0.20,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'balance_sheet':  0.20,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'beaten_down':    0.10,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'under_followed': 0.05,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'gate': {                     # balance-sheet trap filter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'require_negative_net_cash': True,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'require_cash_burn':         True,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'dilution_yoy_threshold':    0.15,   # &gt;15% share growth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'wps_cap_if_tripped':        50,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'archetype_min_cosine': 0.80,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'normalization': 'percentile',   # or 'absolute'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'missing_field_subscore': 40,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STRUCTURAL_TAGS = {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'defense':   ['defense','missile','radar','munition',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'aerospace','military','warfare'],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'fiber_bead':['fiber','broadband','BEAD','optical',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'FTTH','access network'],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'semis':     ['semiconductor','wafer','test','ASIC',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'chip','foundry'],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'ai_infra':  ['GPU','inference','edge AI','data center',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'accelerator'],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'security':  ['screening','weapons detection',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'surveillance','authentication'],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'reshoring': ['domestic manufacturing','onshore',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              'reshoring','Made in USA'],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  'space':     ['satellite','launch','orbital','spacecraft'],</w:t>
            </w:r>
          </w:p>
          <w:p>
            <w:pPr>
              <w:spacing w:after="60" w:before="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The four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222"/>
          <w:sz w:val="20"/>
          <w:szCs w:val="20"/>
        </w:rPr>
        <w:t xml:space="preserve">reference trait-vectors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> (for archetype cosine similarity) should be generated by the validation run and then frozen into the config. Do not hand-guess them; compute ADTN/MRAM/MXL/XMTR’s actual six-trait vectors and store those.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A5F"/>
          <w:sz w:val="30"/>
          <w:szCs w:val="30"/>
        </w:rPr>
        <w:t xml:space="preserve">6. Acceptance Criteria</w:t>
      </w:r>
    </w:p>
    <w:p>
      <w:pPr>
        <w:pBdr>
          <w:bottom w:val="single" w:color="1F3A5F" w:sz="6" w:space="1"/>
        </w:pBd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222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End of specification. Two open decisions to confirm before implementation: (1) percentile vs absolute normalization (§3.2); (2) availability of point-in-time fundamentals for the four winners (§3.7).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280"/>
        <w:sz w:val="14"/>
        <w:szCs w:val="14"/>
      </w:rPr>
      <w:t xml:space="preserve">Internal — Screener Engineering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4"/>
        <w:szCs w:val="14"/>
      </w:rPr>
      <w:t xml:space="preserve">	For Claude 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4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i w:val="false"/>
        <w:iCs w:val="false"/>
        <w:caps w:val="false"/>
        <w:color w:val="6B7280"/>
        <w:sz w:val="15"/>
        <w:szCs w:val="15"/>
      </w:rPr>
      <w:t xml:space="preserve">Winner-Pattern Score — Implementation Spec</w:t>
    </w:r>
    <w:r>
      <w:rPr>
        <w:rFonts w:ascii="Arial" w:cs="Arial" w:eastAsia="Arial" w:hAnsi="Arial"/>
        <w:color w:val="6B7280"/>
        <w:sz w:val="15"/>
        <w:szCs w:val="15"/>
      </w:rPr>
      <w:t xml:space="preserve">	v1.0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C9A22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Winner-Pattern Score — Implementation Specification</dc:title>
  <dc:creator>Structural Growth Screener</dc:creator>
  <cp:lastModifiedBy>Un-named</cp:lastModifiedBy>
  <cp:revision>1</cp:revision>
  <dcterms:created xsi:type="dcterms:W3CDTF">2026-06-06T01:27:58.621Z</dcterms:created>
  <dcterms:modified xsi:type="dcterms:W3CDTF">2026-06-06T01:27:58.636Z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