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A9CBD" w14:textId="0C6F56DC" w:rsidR="00D47D28" w:rsidRDefault="00B75CFD" w:rsidP="00D47D28">
      <w:pPr>
        <w:spacing w:after="0"/>
        <w:ind w:left="5670" w:hanging="283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>Приложение №</w:t>
      </w:r>
      <w:r w:rsidR="00D47D28">
        <w:rPr>
          <w:rFonts w:ascii="Arial" w:hAnsi="Arial" w:cs="Arial"/>
          <w:sz w:val="26"/>
          <w:szCs w:val="26"/>
        </w:rPr>
        <w:t>1</w:t>
      </w:r>
    </w:p>
    <w:p w14:paraId="42250C45" w14:textId="77777777" w:rsidR="00D47D28" w:rsidRDefault="00D47D28" w:rsidP="00D47D28">
      <w:pPr>
        <w:spacing w:after="0"/>
        <w:ind w:left="538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к протоколу Совета директоров</w:t>
      </w:r>
    </w:p>
    <w:p w14:paraId="317605B3" w14:textId="2663FE14" w:rsidR="00D47D28" w:rsidRDefault="00D47D28" w:rsidP="00D47D28">
      <w:pPr>
        <w:spacing w:after="0"/>
        <w:ind w:left="538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АО «НПФ «Сургутнефтегаз»</w:t>
      </w:r>
    </w:p>
    <w:p w14:paraId="65171C08" w14:textId="2408EEF0" w:rsidR="00D47D28" w:rsidRDefault="00D47D28" w:rsidP="00D47D28">
      <w:pPr>
        <w:spacing w:after="0"/>
        <w:ind w:left="5387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от 28 ноября 2018 №30</w:t>
      </w:r>
    </w:p>
    <w:p w14:paraId="7CC805A2" w14:textId="16EA3167" w:rsidR="00B75CFD" w:rsidRPr="00451DAB" w:rsidRDefault="00B75CFD" w:rsidP="00D47D28">
      <w:pPr>
        <w:spacing w:after="0"/>
        <w:ind w:left="5387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  </w:t>
      </w:r>
      <w:r w:rsidRPr="00451DAB">
        <w:rPr>
          <w:rFonts w:ascii="Arial" w:hAnsi="Arial" w:cs="Arial"/>
          <w:sz w:val="26"/>
          <w:szCs w:val="26"/>
        </w:rPr>
        <w:cr/>
      </w:r>
      <w:bookmarkStart w:id="0" w:name="_GoBack"/>
      <w:bookmarkEnd w:id="0"/>
    </w:p>
    <w:p w14:paraId="4E7FCE1C" w14:textId="1812E47C" w:rsidR="00451DAB" w:rsidRDefault="00B75CFD" w:rsidP="00451DAB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b/>
          <w:sz w:val="26"/>
          <w:szCs w:val="26"/>
        </w:rPr>
        <w:t>Правила определения объема средств пенсионных накоплений и пенсионных резервов, передаваемых в договор доверительного управления пенсионными накоплениями и пенсионными резервами АО «НПФ «Сургутнефтегаз» (далее – Правила)</w:t>
      </w:r>
      <w:r w:rsidRPr="00451DAB">
        <w:rPr>
          <w:rFonts w:ascii="Arial" w:hAnsi="Arial" w:cs="Arial"/>
          <w:sz w:val="26"/>
          <w:szCs w:val="26"/>
        </w:rPr>
        <w:cr/>
      </w:r>
    </w:p>
    <w:p w14:paraId="27D43A7F" w14:textId="77777777" w:rsidR="00451DAB" w:rsidRDefault="00451DAB" w:rsidP="00451DAB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</w:p>
    <w:p w14:paraId="50C0EF1D" w14:textId="77777777" w:rsidR="00451DAB" w:rsidRDefault="00B75CFD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Общие положения </w:t>
      </w:r>
    </w:p>
    <w:p w14:paraId="16A95401" w14:textId="77777777" w:rsidR="003C4ACA" w:rsidRDefault="00B75CFD" w:rsidP="003C4ACA">
      <w:pPr>
        <w:spacing w:after="0" w:line="240" w:lineRule="auto"/>
        <w:ind w:left="709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cr/>
        <w:t xml:space="preserve">В настоящих Правилах применены следующие определения:  </w:t>
      </w:r>
      <w:r w:rsidRPr="00451DAB">
        <w:rPr>
          <w:rFonts w:ascii="Arial" w:hAnsi="Arial" w:cs="Arial"/>
          <w:sz w:val="26"/>
          <w:szCs w:val="26"/>
        </w:rPr>
        <w:cr/>
        <w:t xml:space="preserve">Фонд – АО «НПФ «Сургутнефтегаз»;  </w:t>
      </w:r>
      <w:r w:rsidRPr="00451DAB">
        <w:rPr>
          <w:rFonts w:ascii="Arial" w:hAnsi="Arial" w:cs="Arial"/>
          <w:sz w:val="26"/>
          <w:szCs w:val="26"/>
        </w:rPr>
        <w:cr/>
        <w:t xml:space="preserve">Совет – Совет директоров АО «НПФ «Сургутнефтегаз»;  </w:t>
      </w:r>
      <w:r w:rsidRPr="00451DAB">
        <w:rPr>
          <w:rFonts w:ascii="Arial" w:hAnsi="Arial" w:cs="Arial"/>
          <w:sz w:val="26"/>
          <w:szCs w:val="26"/>
        </w:rPr>
        <w:cr/>
        <w:t>Управляющая компания - акционерное общество, общество с</w:t>
      </w:r>
    </w:p>
    <w:p w14:paraId="3423DFFC" w14:textId="77777777" w:rsidR="003C4ACA" w:rsidRDefault="00B75CFD" w:rsidP="003C4ACA">
      <w:pPr>
        <w:spacing w:after="0" w:line="240" w:lineRule="auto"/>
        <w:ind w:firstLine="709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ограниченной (дополнительной) ответственностью, созданные в соответствии законодательством Российской Федерации и имеющие лицензию на осуществление деятельности по управлению инвестиционными фондами, паевыми инвестиционными фондами и негосударственными пенсионными фондами; </w:t>
      </w:r>
    </w:p>
    <w:p w14:paraId="1958871A" w14:textId="27243C23" w:rsidR="003C4ACA" w:rsidRDefault="00B75CFD" w:rsidP="003C4ACA">
      <w:pPr>
        <w:spacing w:after="0" w:line="240" w:lineRule="auto"/>
        <w:ind w:firstLine="709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>Требования к управляющим компаниям и специализированному депозитарию – «Требования, которым должна соответствовать управляющая компания и специализированный депозитарий для заключения с АО «НПФ «Сургутнефтегаз» договора доверительного управления и договора об оказании услуг специализированного депозитария», утвержденные Фондом;</w:t>
      </w:r>
    </w:p>
    <w:p w14:paraId="56AD8ABE" w14:textId="77777777" w:rsidR="003C4ACA" w:rsidRDefault="00B75CFD" w:rsidP="003C4ACA">
      <w:pPr>
        <w:spacing w:after="0" w:line="240" w:lineRule="auto"/>
        <w:ind w:firstLine="709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>Договор – договор доверительного управления средствами пенсионных накоплений и/или договор доверительного управления пенсионными резервами АО «НПФ «Сургутнефтегаз»</w:t>
      </w:r>
      <w:r w:rsidR="003C4ACA">
        <w:rPr>
          <w:rFonts w:ascii="Arial" w:hAnsi="Arial" w:cs="Arial"/>
          <w:sz w:val="26"/>
          <w:szCs w:val="26"/>
        </w:rPr>
        <w:t>;</w:t>
      </w:r>
    </w:p>
    <w:p w14:paraId="3A543A0D" w14:textId="77777777" w:rsidR="003C4ACA" w:rsidRDefault="00B75CFD" w:rsidP="003C4ACA">
      <w:pPr>
        <w:spacing w:after="0" w:line="240" w:lineRule="auto"/>
        <w:ind w:firstLine="709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НПФ – негосударственные пенсионные фонды. </w:t>
      </w:r>
    </w:p>
    <w:p w14:paraId="3E5BC423" w14:textId="6527938B" w:rsidR="00B75CFD" w:rsidRPr="00451DAB" w:rsidRDefault="003C4ACA" w:rsidP="003C4ACA">
      <w:pPr>
        <w:spacing w:after="0" w:line="240" w:lineRule="auto"/>
        <w:ind w:firstLine="709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Н</w:t>
      </w:r>
      <w:r w:rsidR="00B75CFD" w:rsidRPr="00451DAB">
        <w:rPr>
          <w:rFonts w:ascii="Arial" w:hAnsi="Arial" w:cs="Arial"/>
          <w:sz w:val="26"/>
          <w:szCs w:val="26"/>
        </w:rPr>
        <w:t>астоящие Правила устанавливают критерии для     Управляющих компаний, в соответствии с которыми определяется объем средств пенсионных        накоплений и/или пенсионных резервов, передаваемых в доверительное управление Управляющей компании по Договору.</w:t>
      </w:r>
    </w:p>
    <w:p w14:paraId="618A79D2" w14:textId="77777777" w:rsidR="003C4ACA" w:rsidRDefault="003C4ACA" w:rsidP="003C4AC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46B90A1F" w14:textId="5D72DB9F" w:rsidR="003C4ACA" w:rsidRPr="003C4ACA" w:rsidRDefault="003C4ACA" w:rsidP="003C4ACA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3C4ACA">
        <w:rPr>
          <w:rFonts w:ascii="Arial" w:hAnsi="Arial" w:cs="Arial"/>
          <w:sz w:val="26"/>
          <w:szCs w:val="26"/>
        </w:rPr>
        <w:t>1.</w:t>
      </w:r>
      <w:r w:rsidR="00B75CFD" w:rsidRPr="003C4ACA">
        <w:rPr>
          <w:rFonts w:ascii="Arial" w:hAnsi="Arial" w:cs="Arial"/>
          <w:sz w:val="26"/>
          <w:szCs w:val="26"/>
        </w:rPr>
        <w:t>Факторы, учитываемые при определении объема средств пенсионных накоплений и/или пенсионных резервов, передаваемых в доверительное управление Управляющей компании</w:t>
      </w:r>
    </w:p>
    <w:p w14:paraId="0256811C" w14:textId="77777777" w:rsidR="003C4ACA" w:rsidRDefault="003C4ACA" w:rsidP="003C4ACA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</w:p>
    <w:p w14:paraId="63E8734B" w14:textId="723F9E9B" w:rsidR="00B75CFD" w:rsidRPr="00451DAB" w:rsidRDefault="003C4ACA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</w:t>
      </w:r>
      <w:r w:rsidR="00B75CFD" w:rsidRPr="00451DAB">
        <w:rPr>
          <w:rFonts w:ascii="Arial" w:hAnsi="Arial" w:cs="Arial"/>
          <w:sz w:val="26"/>
          <w:szCs w:val="26"/>
        </w:rPr>
        <w:t>.1.</w:t>
      </w:r>
      <w:r>
        <w:rPr>
          <w:rFonts w:ascii="Arial" w:hAnsi="Arial" w:cs="Arial"/>
          <w:sz w:val="26"/>
          <w:szCs w:val="26"/>
        </w:rPr>
        <w:t xml:space="preserve"> </w:t>
      </w:r>
      <w:r w:rsidR="00B75CFD" w:rsidRPr="00451DAB">
        <w:rPr>
          <w:rFonts w:ascii="Arial" w:hAnsi="Arial" w:cs="Arial"/>
          <w:sz w:val="26"/>
          <w:szCs w:val="26"/>
        </w:rPr>
        <w:t>Управляющая компания должна соответствовать всем требованиям, установленным действующими нормативными правовыми актами Российской Федерации, нормативными актами Банка России, а также Требованиям к управляющим компаниям и специализированному депозитарию, действующим в Фонде.</w:t>
      </w:r>
    </w:p>
    <w:p w14:paraId="77763E7B" w14:textId="77777777" w:rsidR="00451DAB" w:rsidRPr="00451DAB" w:rsidRDefault="00B75CFD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lastRenderedPageBreak/>
        <w:t>1.2. Управляющая компания должна соответствовать Требованиям к управляющим компаниям и специализированному депозитарию на дату заключения и в течение всего времени действия Договора, а также должна соответствовать дополнительно устанавливаемым настоящими Правилами требованиям на дату передачи пенсионных накоплений и/или пенсионных резервов по Договору.</w:t>
      </w:r>
    </w:p>
    <w:p w14:paraId="0165E3BE" w14:textId="1A604EBC" w:rsidR="00451DAB" w:rsidRDefault="00451DAB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>1</w:t>
      </w:r>
      <w:r w:rsidR="00B75CFD" w:rsidRPr="00451DAB">
        <w:rPr>
          <w:rFonts w:ascii="Arial" w:hAnsi="Arial" w:cs="Arial"/>
          <w:sz w:val="26"/>
          <w:szCs w:val="26"/>
        </w:rPr>
        <w:t>.3. В случае невыполнения пп.1.1., 1.2. настоящих Правил пенсионные</w:t>
      </w:r>
      <w:r w:rsidRPr="00451DAB">
        <w:rPr>
          <w:rFonts w:ascii="Arial" w:hAnsi="Arial" w:cs="Arial"/>
          <w:sz w:val="26"/>
          <w:szCs w:val="26"/>
        </w:rPr>
        <w:t xml:space="preserve"> </w:t>
      </w:r>
      <w:r w:rsidR="00B75CFD" w:rsidRPr="00451DAB">
        <w:rPr>
          <w:rFonts w:ascii="Arial" w:hAnsi="Arial" w:cs="Arial"/>
          <w:sz w:val="26"/>
          <w:szCs w:val="26"/>
        </w:rPr>
        <w:t xml:space="preserve">накопления и/или пенсионные резервы не передаются в </w:t>
      </w:r>
      <w:r w:rsidRPr="00451DAB">
        <w:rPr>
          <w:rFonts w:ascii="Arial" w:hAnsi="Arial" w:cs="Arial"/>
          <w:sz w:val="26"/>
          <w:szCs w:val="26"/>
        </w:rPr>
        <w:t>д</w:t>
      </w:r>
      <w:r w:rsidR="00B75CFD" w:rsidRPr="00451DAB">
        <w:rPr>
          <w:rFonts w:ascii="Arial" w:hAnsi="Arial" w:cs="Arial"/>
          <w:sz w:val="26"/>
          <w:szCs w:val="26"/>
        </w:rPr>
        <w:t>оверительное</w:t>
      </w:r>
      <w:r w:rsidRPr="00451DAB">
        <w:rPr>
          <w:rFonts w:ascii="Arial" w:hAnsi="Arial" w:cs="Arial"/>
          <w:sz w:val="26"/>
          <w:szCs w:val="26"/>
        </w:rPr>
        <w:t xml:space="preserve"> </w:t>
      </w:r>
      <w:r w:rsidR="00B75CFD" w:rsidRPr="00451DAB">
        <w:rPr>
          <w:rFonts w:ascii="Arial" w:hAnsi="Arial" w:cs="Arial"/>
          <w:sz w:val="26"/>
          <w:szCs w:val="26"/>
        </w:rPr>
        <w:t>управление Управляющей компании.</w:t>
      </w:r>
    </w:p>
    <w:p w14:paraId="7BB95251" w14:textId="77777777" w:rsidR="003C4ACA" w:rsidRPr="00451DAB" w:rsidRDefault="003C4ACA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</w:p>
    <w:p w14:paraId="04D2B208" w14:textId="6F5DC2C7" w:rsidR="00451DAB" w:rsidRDefault="003C4ACA" w:rsidP="003C4ACA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2. </w:t>
      </w:r>
      <w:r w:rsidR="00B75CFD" w:rsidRPr="00451DAB">
        <w:rPr>
          <w:rFonts w:ascii="Arial" w:hAnsi="Arial" w:cs="Arial"/>
          <w:sz w:val="26"/>
          <w:szCs w:val="26"/>
        </w:rPr>
        <w:t>Правила определения объема средств пенсионных накоплений и/или пенсионных резервов, передаваемых в доверительное управление</w:t>
      </w:r>
      <w:r w:rsidR="00451DAB" w:rsidRPr="00451DAB">
        <w:rPr>
          <w:rFonts w:ascii="Arial" w:hAnsi="Arial" w:cs="Arial"/>
          <w:sz w:val="26"/>
          <w:szCs w:val="26"/>
        </w:rPr>
        <w:t xml:space="preserve"> </w:t>
      </w:r>
      <w:r w:rsidR="00B75CFD" w:rsidRPr="00451DAB">
        <w:rPr>
          <w:rFonts w:ascii="Arial" w:hAnsi="Arial" w:cs="Arial"/>
          <w:sz w:val="26"/>
          <w:szCs w:val="26"/>
        </w:rPr>
        <w:t>Управляющей компании</w:t>
      </w:r>
    </w:p>
    <w:p w14:paraId="7B0637ED" w14:textId="77777777" w:rsidR="003C4ACA" w:rsidRPr="00451DAB" w:rsidRDefault="003C4ACA" w:rsidP="003C4ACA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</w:p>
    <w:p w14:paraId="143B0531" w14:textId="389C696C" w:rsidR="00451DAB" w:rsidRPr="00451DAB" w:rsidRDefault="00B75CFD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>2.1. Максимальный объем средств пенсионных накоплений и/или пенсионных резервов,</w:t>
      </w:r>
      <w:r w:rsidR="00451DAB" w:rsidRPr="00451DAB">
        <w:rPr>
          <w:rFonts w:ascii="Arial" w:hAnsi="Arial" w:cs="Arial"/>
          <w:sz w:val="26"/>
          <w:szCs w:val="26"/>
        </w:rPr>
        <w:t xml:space="preserve"> </w:t>
      </w:r>
      <w:r w:rsidRPr="00451DAB">
        <w:rPr>
          <w:rFonts w:ascii="Arial" w:hAnsi="Arial" w:cs="Arial"/>
          <w:sz w:val="26"/>
          <w:szCs w:val="26"/>
        </w:rPr>
        <w:t>передаваемых в доверительное управление каждой Управляющей компании, устанавливается Советом по представлению Генерального директора Фонда.</w:t>
      </w:r>
    </w:p>
    <w:p w14:paraId="7C21456D" w14:textId="77777777" w:rsidR="00451DAB" w:rsidRPr="00451DAB" w:rsidRDefault="00451DAB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>2</w:t>
      </w:r>
      <w:r w:rsidR="00B75CFD" w:rsidRPr="00451DAB">
        <w:rPr>
          <w:rFonts w:ascii="Arial" w:hAnsi="Arial" w:cs="Arial"/>
          <w:sz w:val="26"/>
          <w:szCs w:val="26"/>
        </w:rPr>
        <w:t>.2. Максимальный объем средств пенсионных накоплений и/или пенсионных резервов, передаваемый в доверительное управление Управляющей компании, определяется исходя из принципов диверсификации и экономической целесообразности с учетом требований настоящих Правил.</w:t>
      </w:r>
    </w:p>
    <w:p w14:paraId="30F63B51" w14:textId="6385247B" w:rsidR="00451DAB" w:rsidRPr="00451DAB" w:rsidRDefault="00451DAB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>2</w:t>
      </w:r>
      <w:r w:rsidR="00B75CFD" w:rsidRPr="00451DAB">
        <w:rPr>
          <w:rFonts w:ascii="Arial" w:hAnsi="Arial" w:cs="Arial"/>
          <w:sz w:val="26"/>
          <w:szCs w:val="26"/>
        </w:rPr>
        <w:t>.3. При определении объема средств пенсионных накоплений (далее – ПН) и/или пенсионных резервов (далее – ПР), передаваемых в доверительное управление Управляющей компании, должны соблюдаться следующие критерии:</w:t>
      </w:r>
      <w:r w:rsidR="003C4ACA">
        <w:rPr>
          <w:rFonts w:ascii="Arial" w:hAnsi="Arial" w:cs="Arial"/>
          <w:sz w:val="26"/>
          <w:szCs w:val="26"/>
        </w:rPr>
        <w:tab/>
      </w:r>
    </w:p>
    <w:p w14:paraId="3BA7999D" w14:textId="7C465F90" w:rsidR="00B75CFD" w:rsidRDefault="00451DAB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>2</w:t>
      </w:r>
      <w:r w:rsidR="00B75CFD" w:rsidRPr="00451DAB">
        <w:rPr>
          <w:rFonts w:ascii="Arial" w:hAnsi="Arial" w:cs="Arial"/>
          <w:sz w:val="26"/>
          <w:szCs w:val="26"/>
        </w:rPr>
        <w:t xml:space="preserve">.3.1. коэффициент покрытия капиталом (К1) должен быть не менее </w:t>
      </w:r>
      <w:r w:rsidR="00103BC5">
        <w:rPr>
          <w:rFonts w:ascii="Arial" w:hAnsi="Arial" w:cs="Arial"/>
          <w:sz w:val="26"/>
          <w:szCs w:val="26"/>
        </w:rPr>
        <w:t>5</w:t>
      </w:r>
      <w:r w:rsidR="00B75CFD" w:rsidRPr="00451DAB">
        <w:rPr>
          <w:rFonts w:ascii="Arial" w:hAnsi="Arial" w:cs="Arial"/>
          <w:sz w:val="26"/>
          <w:szCs w:val="26"/>
        </w:rPr>
        <w:t>,0%:</w:t>
      </w:r>
    </w:p>
    <w:p w14:paraId="6861CEC9" w14:textId="77777777" w:rsidR="003C4ACA" w:rsidRPr="00451DAB" w:rsidRDefault="003C4ACA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</w:p>
    <w:p w14:paraId="0484366A" w14:textId="77777777" w:rsidR="00451DAB" w:rsidRPr="00451DAB" w:rsidRDefault="00B75CFD" w:rsidP="003C4AC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                  Капитал Управляющей компании на отчетную дату  </w:t>
      </w:r>
      <w:r w:rsidRPr="00451DAB">
        <w:rPr>
          <w:rFonts w:ascii="Arial" w:hAnsi="Arial" w:cs="Arial"/>
          <w:sz w:val="26"/>
          <w:szCs w:val="26"/>
        </w:rPr>
        <w:cr/>
        <w:t xml:space="preserve">         К1 = ------------------------------------------------------------------------------ * 100%  </w:t>
      </w:r>
      <w:r w:rsidRPr="00451DAB">
        <w:rPr>
          <w:rFonts w:ascii="Arial" w:hAnsi="Arial" w:cs="Arial"/>
          <w:sz w:val="26"/>
          <w:szCs w:val="26"/>
        </w:rPr>
        <w:cr/>
        <w:t xml:space="preserve">                 Объем средств ПН и ПР по Договорам  </w:t>
      </w:r>
      <w:r w:rsidRPr="00451DAB">
        <w:rPr>
          <w:rFonts w:ascii="Arial" w:hAnsi="Arial" w:cs="Arial"/>
          <w:sz w:val="26"/>
          <w:szCs w:val="26"/>
        </w:rPr>
        <w:cr/>
      </w:r>
    </w:p>
    <w:p w14:paraId="161BDCCA" w14:textId="17375BB2" w:rsidR="00B75CFD" w:rsidRDefault="00B75CFD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2.3.2. коэффициент достаточности капитала (К2) должен быть не менее </w:t>
      </w:r>
      <w:r w:rsidR="00451DAB" w:rsidRPr="00451DAB">
        <w:rPr>
          <w:rFonts w:ascii="Arial" w:hAnsi="Arial" w:cs="Arial"/>
          <w:sz w:val="26"/>
          <w:szCs w:val="26"/>
        </w:rPr>
        <w:t>0</w:t>
      </w:r>
      <w:r w:rsidRPr="00451DAB">
        <w:rPr>
          <w:rFonts w:ascii="Arial" w:hAnsi="Arial" w:cs="Arial"/>
          <w:sz w:val="26"/>
          <w:szCs w:val="26"/>
        </w:rPr>
        <w:t>,</w:t>
      </w:r>
      <w:r w:rsidR="003F563C">
        <w:rPr>
          <w:rFonts w:ascii="Arial" w:hAnsi="Arial" w:cs="Arial"/>
          <w:sz w:val="26"/>
          <w:szCs w:val="26"/>
        </w:rPr>
        <w:t>25</w:t>
      </w:r>
      <w:r w:rsidRPr="00451DAB">
        <w:rPr>
          <w:rFonts w:ascii="Arial" w:hAnsi="Arial" w:cs="Arial"/>
          <w:sz w:val="26"/>
          <w:szCs w:val="26"/>
        </w:rPr>
        <w:t xml:space="preserve">%: </w:t>
      </w:r>
    </w:p>
    <w:p w14:paraId="390CE1FB" w14:textId="77777777" w:rsidR="003C4ACA" w:rsidRPr="00451DAB" w:rsidRDefault="003C4ACA" w:rsidP="003C4ACA">
      <w:pPr>
        <w:spacing w:after="0" w:line="240" w:lineRule="auto"/>
        <w:ind w:firstLine="708"/>
        <w:jc w:val="both"/>
        <w:rPr>
          <w:rFonts w:ascii="Arial" w:hAnsi="Arial" w:cs="Arial"/>
          <w:sz w:val="26"/>
          <w:szCs w:val="26"/>
        </w:rPr>
      </w:pPr>
    </w:p>
    <w:p w14:paraId="3FEA5C70" w14:textId="6844F6E5" w:rsidR="00451DAB" w:rsidRPr="00451DAB" w:rsidRDefault="00B75CFD" w:rsidP="003C4AC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                 Капитал Управляющей компании на отчетную дату  </w:t>
      </w:r>
      <w:r w:rsidRPr="00451DAB">
        <w:rPr>
          <w:rFonts w:ascii="Arial" w:hAnsi="Arial" w:cs="Arial"/>
          <w:sz w:val="26"/>
          <w:szCs w:val="26"/>
        </w:rPr>
        <w:cr/>
        <w:t xml:space="preserve">        К2 = ------------------------------------------------------------------------------------ * 100%  </w:t>
      </w:r>
      <w:r w:rsidRPr="00451DAB">
        <w:rPr>
          <w:rFonts w:ascii="Arial" w:hAnsi="Arial" w:cs="Arial"/>
          <w:sz w:val="26"/>
          <w:szCs w:val="26"/>
        </w:rPr>
        <w:cr/>
        <w:t xml:space="preserve">               </w:t>
      </w:r>
      <w:r w:rsidR="0073070C" w:rsidRPr="00451DAB">
        <w:rPr>
          <w:rFonts w:ascii="Arial" w:hAnsi="Arial" w:cs="Arial"/>
          <w:sz w:val="26"/>
          <w:szCs w:val="26"/>
        </w:rPr>
        <w:t xml:space="preserve">Объем обслуживаемых активов </w:t>
      </w:r>
      <w:r w:rsidR="003F563C">
        <w:rPr>
          <w:rFonts w:ascii="Arial" w:hAnsi="Arial" w:cs="Arial"/>
          <w:sz w:val="26"/>
          <w:szCs w:val="26"/>
        </w:rPr>
        <w:t>ПН и ПР по договорам с НПФ</w:t>
      </w:r>
      <w:r w:rsidRPr="00451DAB">
        <w:rPr>
          <w:rFonts w:ascii="Arial" w:hAnsi="Arial" w:cs="Arial"/>
          <w:sz w:val="26"/>
          <w:szCs w:val="26"/>
        </w:rPr>
        <w:t xml:space="preserve">  </w:t>
      </w:r>
      <w:r w:rsidRPr="00451DAB">
        <w:rPr>
          <w:rFonts w:ascii="Arial" w:hAnsi="Arial" w:cs="Arial"/>
          <w:sz w:val="26"/>
          <w:szCs w:val="26"/>
        </w:rPr>
        <w:cr/>
      </w:r>
    </w:p>
    <w:p w14:paraId="2FABDF1A" w14:textId="71E936D7" w:rsidR="003C4ACA" w:rsidRDefault="00B75CFD" w:rsidP="003C4AC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2.3.3. коэффициент концентрации (К3) должен быть не более </w:t>
      </w:r>
      <w:r w:rsidR="00EC142B">
        <w:rPr>
          <w:rFonts w:ascii="Arial" w:hAnsi="Arial" w:cs="Arial"/>
          <w:sz w:val="26"/>
          <w:szCs w:val="26"/>
        </w:rPr>
        <w:t>30</w:t>
      </w:r>
      <w:r w:rsidRPr="00451DAB">
        <w:rPr>
          <w:rFonts w:ascii="Arial" w:hAnsi="Arial" w:cs="Arial"/>
          <w:sz w:val="26"/>
          <w:szCs w:val="26"/>
        </w:rPr>
        <w:t>,0%:</w:t>
      </w:r>
    </w:p>
    <w:p w14:paraId="7FBFF257" w14:textId="06D4E041" w:rsidR="00B75CFD" w:rsidRPr="00451DAB" w:rsidRDefault="00B75CFD" w:rsidP="003C4AC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 </w:t>
      </w:r>
    </w:p>
    <w:p w14:paraId="1F926A2C" w14:textId="2E3DBBA6" w:rsidR="000C73D5" w:rsidRPr="00451DAB" w:rsidRDefault="00B75CFD" w:rsidP="003C4AC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451DAB">
        <w:rPr>
          <w:rFonts w:ascii="Arial" w:hAnsi="Arial" w:cs="Arial"/>
          <w:sz w:val="26"/>
          <w:szCs w:val="26"/>
        </w:rPr>
        <w:t xml:space="preserve">                Объем средств ПН и ПР по Договорам  </w:t>
      </w:r>
      <w:r w:rsidRPr="00451DAB">
        <w:rPr>
          <w:rFonts w:ascii="Arial" w:hAnsi="Arial" w:cs="Arial"/>
          <w:sz w:val="26"/>
          <w:szCs w:val="26"/>
        </w:rPr>
        <w:cr/>
        <w:t xml:space="preserve">       К3 = ------------------------------------------------------------------------------------- * 100%  </w:t>
      </w:r>
      <w:r w:rsidRPr="00451DAB">
        <w:rPr>
          <w:rFonts w:ascii="Arial" w:hAnsi="Arial" w:cs="Arial"/>
          <w:sz w:val="26"/>
          <w:szCs w:val="26"/>
        </w:rPr>
        <w:cr/>
        <w:t xml:space="preserve">                Объем обслуживаемых активов </w:t>
      </w:r>
      <w:r w:rsidR="00EC142B">
        <w:rPr>
          <w:rFonts w:ascii="Arial" w:hAnsi="Arial" w:cs="Arial"/>
          <w:sz w:val="26"/>
          <w:szCs w:val="26"/>
        </w:rPr>
        <w:t>ПН и ПР по договорам с НПФ</w:t>
      </w:r>
      <w:r w:rsidRPr="00451DAB">
        <w:rPr>
          <w:rFonts w:ascii="Arial" w:hAnsi="Arial" w:cs="Arial"/>
          <w:sz w:val="26"/>
          <w:szCs w:val="26"/>
        </w:rPr>
        <w:t xml:space="preserve">  </w:t>
      </w:r>
      <w:r w:rsidRPr="00451DAB">
        <w:rPr>
          <w:rFonts w:ascii="Arial" w:hAnsi="Arial" w:cs="Arial"/>
          <w:sz w:val="26"/>
          <w:szCs w:val="26"/>
        </w:rPr>
        <w:cr/>
        <w:t xml:space="preserve">                                                                                                        </w:t>
      </w:r>
    </w:p>
    <w:sectPr w:rsidR="000C73D5" w:rsidRPr="00451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54D11C" w14:textId="77777777" w:rsidR="00506BC8" w:rsidRDefault="00506BC8" w:rsidP="00451DAB">
      <w:pPr>
        <w:spacing w:after="0" w:line="240" w:lineRule="auto"/>
      </w:pPr>
      <w:r>
        <w:separator/>
      </w:r>
    </w:p>
  </w:endnote>
  <w:endnote w:type="continuationSeparator" w:id="0">
    <w:p w14:paraId="2A67D6BB" w14:textId="77777777" w:rsidR="00506BC8" w:rsidRDefault="00506BC8" w:rsidP="00451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036E6A" w14:textId="77777777" w:rsidR="00506BC8" w:rsidRDefault="00506BC8" w:rsidP="00451DAB">
      <w:pPr>
        <w:spacing w:after="0" w:line="240" w:lineRule="auto"/>
      </w:pPr>
      <w:r>
        <w:separator/>
      </w:r>
    </w:p>
  </w:footnote>
  <w:footnote w:type="continuationSeparator" w:id="0">
    <w:p w14:paraId="29CA6F7E" w14:textId="77777777" w:rsidR="00506BC8" w:rsidRDefault="00506BC8" w:rsidP="00451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06E16"/>
    <w:multiLevelType w:val="hybridMultilevel"/>
    <w:tmpl w:val="09D0B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033EF"/>
    <w:multiLevelType w:val="hybridMultilevel"/>
    <w:tmpl w:val="18643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C0"/>
    <w:rsid w:val="000203AE"/>
    <w:rsid w:val="00025A58"/>
    <w:rsid w:val="00033D52"/>
    <w:rsid w:val="00040D78"/>
    <w:rsid w:val="00042DE9"/>
    <w:rsid w:val="000466F4"/>
    <w:rsid w:val="00054018"/>
    <w:rsid w:val="00054C09"/>
    <w:rsid w:val="00056FE8"/>
    <w:rsid w:val="000859D9"/>
    <w:rsid w:val="000A69AC"/>
    <w:rsid w:val="000B575E"/>
    <w:rsid w:val="000C1A1E"/>
    <w:rsid w:val="000C46AA"/>
    <w:rsid w:val="000C73D5"/>
    <w:rsid w:val="000D55B9"/>
    <w:rsid w:val="000F1DF3"/>
    <w:rsid w:val="001034F0"/>
    <w:rsid w:val="00103BC5"/>
    <w:rsid w:val="00104281"/>
    <w:rsid w:val="00121AAD"/>
    <w:rsid w:val="00126849"/>
    <w:rsid w:val="001314E6"/>
    <w:rsid w:val="00166315"/>
    <w:rsid w:val="001916A0"/>
    <w:rsid w:val="001A0F54"/>
    <w:rsid w:val="001A53E0"/>
    <w:rsid w:val="001F0131"/>
    <w:rsid w:val="001F5F1E"/>
    <w:rsid w:val="00203D06"/>
    <w:rsid w:val="00215464"/>
    <w:rsid w:val="002223CD"/>
    <w:rsid w:val="00244A97"/>
    <w:rsid w:val="0024569B"/>
    <w:rsid w:val="00253B7B"/>
    <w:rsid w:val="00266B4F"/>
    <w:rsid w:val="00266F31"/>
    <w:rsid w:val="002738D2"/>
    <w:rsid w:val="0028032E"/>
    <w:rsid w:val="00284AF0"/>
    <w:rsid w:val="00296777"/>
    <w:rsid w:val="002A67B8"/>
    <w:rsid w:val="002C3177"/>
    <w:rsid w:val="002C5F97"/>
    <w:rsid w:val="002D19D0"/>
    <w:rsid w:val="002E7B78"/>
    <w:rsid w:val="002F54F5"/>
    <w:rsid w:val="003026FE"/>
    <w:rsid w:val="003041DA"/>
    <w:rsid w:val="00327BD6"/>
    <w:rsid w:val="00363D1A"/>
    <w:rsid w:val="00372DCA"/>
    <w:rsid w:val="00372EA4"/>
    <w:rsid w:val="003740C4"/>
    <w:rsid w:val="003757B8"/>
    <w:rsid w:val="00386595"/>
    <w:rsid w:val="003B79ED"/>
    <w:rsid w:val="003C4ACA"/>
    <w:rsid w:val="003D03DF"/>
    <w:rsid w:val="003E24DB"/>
    <w:rsid w:val="003F563C"/>
    <w:rsid w:val="003F67C6"/>
    <w:rsid w:val="00416B15"/>
    <w:rsid w:val="0042523A"/>
    <w:rsid w:val="00437A1C"/>
    <w:rsid w:val="00451DAB"/>
    <w:rsid w:val="00456FD2"/>
    <w:rsid w:val="00474616"/>
    <w:rsid w:val="004B6324"/>
    <w:rsid w:val="004D16E6"/>
    <w:rsid w:val="004D2FC1"/>
    <w:rsid w:val="00506BC8"/>
    <w:rsid w:val="0052681D"/>
    <w:rsid w:val="00547B2B"/>
    <w:rsid w:val="00550FD2"/>
    <w:rsid w:val="00560B01"/>
    <w:rsid w:val="0056402C"/>
    <w:rsid w:val="0056435C"/>
    <w:rsid w:val="005726D9"/>
    <w:rsid w:val="00575612"/>
    <w:rsid w:val="005775BA"/>
    <w:rsid w:val="00591D5F"/>
    <w:rsid w:val="005949E9"/>
    <w:rsid w:val="00597422"/>
    <w:rsid w:val="005C3908"/>
    <w:rsid w:val="005D1874"/>
    <w:rsid w:val="005D4454"/>
    <w:rsid w:val="005D581A"/>
    <w:rsid w:val="005E7E57"/>
    <w:rsid w:val="006006C6"/>
    <w:rsid w:val="0060367A"/>
    <w:rsid w:val="006513EE"/>
    <w:rsid w:val="00652A18"/>
    <w:rsid w:val="00655DDD"/>
    <w:rsid w:val="00667A30"/>
    <w:rsid w:val="006A21F7"/>
    <w:rsid w:val="006A78A4"/>
    <w:rsid w:val="006F08D1"/>
    <w:rsid w:val="006F279A"/>
    <w:rsid w:val="007076BB"/>
    <w:rsid w:val="00721564"/>
    <w:rsid w:val="00727F52"/>
    <w:rsid w:val="0073070C"/>
    <w:rsid w:val="00730EE0"/>
    <w:rsid w:val="00731202"/>
    <w:rsid w:val="00733317"/>
    <w:rsid w:val="00753457"/>
    <w:rsid w:val="00756FDD"/>
    <w:rsid w:val="0076783C"/>
    <w:rsid w:val="00782DD8"/>
    <w:rsid w:val="00795658"/>
    <w:rsid w:val="007C1EFC"/>
    <w:rsid w:val="007D77B6"/>
    <w:rsid w:val="007F49DE"/>
    <w:rsid w:val="00807174"/>
    <w:rsid w:val="00817573"/>
    <w:rsid w:val="008218F4"/>
    <w:rsid w:val="00842DFF"/>
    <w:rsid w:val="008A6286"/>
    <w:rsid w:val="008D37A7"/>
    <w:rsid w:val="0092425F"/>
    <w:rsid w:val="00943483"/>
    <w:rsid w:val="00991358"/>
    <w:rsid w:val="00993E0A"/>
    <w:rsid w:val="009B6B43"/>
    <w:rsid w:val="009C6205"/>
    <w:rsid w:val="009D51E6"/>
    <w:rsid w:val="009D570C"/>
    <w:rsid w:val="009F0418"/>
    <w:rsid w:val="00A22DED"/>
    <w:rsid w:val="00A31325"/>
    <w:rsid w:val="00A43072"/>
    <w:rsid w:val="00A44969"/>
    <w:rsid w:val="00A52232"/>
    <w:rsid w:val="00A53900"/>
    <w:rsid w:val="00A55018"/>
    <w:rsid w:val="00A604B6"/>
    <w:rsid w:val="00A62040"/>
    <w:rsid w:val="00A8037C"/>
    <w:rsid w:val="00A826F4"/>
    <w:rsid w:val="00AB6161"/>
    <w:rsid w:val="00AB6D0F"/>
    <w:rsid w:val="00AC7C2A"/>
    <w:rsid w:val="00AF0AA6"/>
    <w:rsid w:val="00B137C3"/>
    <w:rsid w:val="00B7483A"/>
    <w:rsid w:val="00B75CFD"/>
    <w:rsid w:val="00B7623D"/>
    <w:rsid w:val="00B9479B"/>
    <w:rsid w:val="00B94F39"/>
    <w:rsid w:val="00B950E5"/>
    <w:rsid w:val="00BB04A8"/>
    <w:rsid w:val="00BD5DB8"/>
    <w:rsid w:val="00C223C0"/>
    <w:rsid w:val="00C56570"/>
    <w:rsid w:val="00C77AD7"/>
    <w:rsid w:val="00C9092D"/>
    <w:rsid w:val="00CB2F9A"/>
    <w:rsid w:val="00CB6512"/>
    <w:rsid w:val="00CD3FF5"/>
    <w:rsid w:val="00CE1717"/>
    <w:rsid w:val="00CE57D2"/>
    <w:rsid w:val="00CE731E"/>
    <w:rsid w:val="00CF6659"/>
    <w:rsid w:val="00D1542A"/>
    <w:rsid w:val="00D2324E"/>
    <w:rsid w:val="00D31D91"/>
    <w:rsid w:val="00D40C5E"/>
    <w:rsid w:val="00D47D28"/>
    <w:rsid w:val="00D771D0"/>
    <w:rsid w:val="00D82F86"/>
    <w:rsid w:val="00D91D49"/>
    <w:rsid w:val="00D95293"/>
    <w:rsid w:val="00D9640E"/>
    <w:rsid w:val="00DB4124"/>
    <w:rsid w:val="00DB6D52"/>
    <w:rsid w:val="00DC4285"/>
    <w:rsid w:val="00E0240F"/>
    <w:rsid w:val="00E03ABA"/>
    <w:rsid w:val="00E125D4"/>
    <w:rsid w:val="00E15198"/>
    <w:rsid w:val="00E44B5D"/>
    <w:rsid w:val="00E5311E"/>
    <w:rsid w:val="00E55AB4"/>
    <w:rsid w:val="00E66D03"/>
    <w:rsid w:val="00E726C6"/>
    <w:rsid w:val="00EA030F"/>
    <w:rsid w:val="00EC142B"/>
    <w:rsid w:val="00EC3AA8"/>
    <w:rsid w:val="00EE4BD2"/>
    <w:rsid w:val="00EF47F8"/>
    <w:rsid w:val="00F24193"/>
    <w:rsid w:val="00F422D5"/>
    <w:rsid w:val="00F473DD"/>
    <w:rsid w:val="00F90BE0"/>
    <w:rsid w:val="00FA1B13"/>
    <w:rsid w:val="00FA7D72"/>
    <w:rsid w:val="00FE1117"/>
    <w:rsid w:val="00FF49C0"/>
    <w:rsid w:val="00FF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DB8D3"/>
  <w15:chartTrackingRefBased/>
  <w15:docId w15:val="{D4E46828-9C62-4B94-9FA0-B448051F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1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51DAB"/>
  </w:style>
  <w:style w:type="paragraph" w:styleId="a5">
    <w:name w:val="footer"/>
    <w:basedOn w:val="a"/>
    <w:link w:val="a6"/>
    <w:uiPriority w:val="99"/>
    <w:unhideWhenUsed/>
    <w:rsid w:val="00451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51DAB"/>
  </w:style>
  <w:style w:type="paragraph" w:styleId="a7">
    <w:name w:val="List Paragraph"/>
    <w:basedOn w:val="a"/>
    <w:uiPriority w:val="34"/>
    <w:qFormat/>
    <w:rsid w:val="003C4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8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Альжанов</dc:creator>
  <cp:keywords/>
  <dc:description/>
  <cp:lastModifiedBy>Мария Боброва</cp:lastModifiedBy>
  <cp:revision>9</cp:revision>
  <dcterms:created xsi:type="dcterms:W3CDTF">2018-10-08T11:42:00Z</dcterms:created>
  <dcterms:modified xsi:type="dcterms:W3CDTF">2018-12-03T10:18:00Z</dcterms:modified>
</cp:coreProperties>
</file>