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Roboto" w:hAnsi="Roboto" w:eastAsia="Times New Roman" w:cs="Times New Roman"/>
          <w:color w:val="2a2a2a"/>
          <w:sz w:val="36"/>
          <w:szCs w:val="36"/>
          <w:lang w:eastAsia="ru-RU"/>
        </w:rPr>
      </w:pPr>
      <w:r>
        <w:rPr>
          <w:rFonts w:ascii="Roboto" w:hAnsi="Roboto" w:eastAsia="Times New Roman" w:cs="Times New Roman"/>
          <w:color w:val="2a2a2a"/>
          <w:sz w:val="36"/>
          <w:szCs w:val="36"/>
          <w:lang w:eastAsia="ru-RU"/>
        </w:rPr>
        <w:t xml:space="preserve">Налогообложение пенсионных взносов и выплат </w:t>
      </w:r>
      <w:r/>
    </w:p>
    <w:p>
      <w:pPr>
        <w:jc w:val="center"/>
        <w:spacing w:after="0"/>
        <w:rPr>
          <w:rFonts w:ascii="Roboto" w:hAnsi="Roboto" w:eastAsia="Times New Roman" w:cs="Times New Roman"/>
          <w:color w:val="2a2a2a"/>
          <w:sz w:val="36"/>
          <w:szCs w:val="36"/>
          <w:lang w:eastAsia="ru-RU"/>
        </w:rPr>
      </w:pPr>
      <w:r>
        <w:rPr>
          <w:rFonts w:ascii="Roboto" w:hAnsi="Roboto" w:eastAsia="Times New Roman" w:cs="Times New Roman"/>
          <w:color w:val="2a2a2a"/>
          <w:sz w:val="36"/>
          <w:szCs w:val="36"/>
          <w:lang w:eastAsia="ru-RU"/>
        </w:rPr>
        <w:t xml:space="preserve">участникам Фонда и их правопреемникам </w:t>
      </w:r>
      <w:r/>
    </w:p>
    <w:p>
      <w:pPr>
        <w:jc w:val="center"/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ind w:firstLine="567"/>
        <w:jc w:val="bot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Пенсионные взносы, уплачиваемые вкладчиком – юридическим лицом в Фонд, учитываются вкладчиком в составе </w:t>
      </w:r>
      <w:r>
        <w:rPr>
          <w:rFonts w:cstheme="minorHAnsi"/>
          <w:sz w:val="24"/>
          <w:szCs w:val="24"/>
        </w:rPr>
        <w:t xml:space="preserve">расходов на оплату труда</w:t>
      </w:r>
      <w:r>
        <w:rPr>
          <w:rFonts w:cstheme="minorHAnsi"/>
          <w:sz w:val="24"/>
          <w:szCs w:val="24"/>
        </w:rPr>
        <w:t xml:space="preserve"> и</w:t>
      </w:r>
      <w:r>
        <w:rPr>
          <w:rFonts w:cstheme="minorHAnsi"/>
          <w:sz w:val="24"/>
          <w:szCs w:val="24"/>
        </w:rPr>
        <w:t xml:space="preserve"> уменьшают  налоговую базу по налогу на прибыль. При этом совокупная сумма взносов</w:t>
      </w:r>
      <w:r>
        <w:rPr>
          <w:rFonts w:cstheme="minorHAnsi"/>
          <w:sz w:val="24"/>
          <w:szCs w:val="24"/>
        </w:rPr>
        <w:t xml:space="preserve"> работодателя, относящихся к расходам на оплату труда, в том числе по договорам негосударственного пенсионного обеспечения работников,</w:t>
      </w:r>
      <w:r>
        <w:rPr>
          <w:rFonts w:cstheme="minorHAnsi"/>
          <w:sz w:val="24"/>
          <w:szCs w:val="24"/>
        </w:rPr>
        <w:t xml:space="preserve"> учитывается</w:t>
      </w:r>
      <w:r>
        <w:rPr>
          <w:rFonts w:cstheme="minorHAnsi"/>
          <w:sz w:val="24"/>
          <w:szCs w:val="24"/>
        </w:rPr>
        <w:t xml:space="preserve"> в целях налогообложения в размере, не превышающем 12</w:t>
      </w:r>
      <w:r>
        <w:rPr>
          <w:rFonts w:cstheme="minorHAnsi"/>
          <w:sz w:val="24"/>
          <w:szCs w:val="24"/>
        </w:rPr>
        <w:t xml:space="preserve">%</w:t>
      </w:r>
      <w:r>
        <w:rPr>
          <w:rFonts w:cstheme="minorHAnsi"/>
          <w:sz w:val="24"/>
          <w:szCs w:val="24"/>
        </w:rPr>
        <w:t xml:space="preserve"> от суммы расходов на оплату труда</w:t>
      </w:r>
      <w:r>
        <w:rPr>
          <w:rFonts w:cstheme="minorHAnsi"/>
          <w:sz w:val="24"/>
          <w:szCs w:val="24"/>
        </w:rPr>
        <w:t xml:space="preserve"> (п</w:t>
      </w:r>
      <w:r>
        <w:rPr>
          <w:rFonts w:cstheme="minorHAnsi"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  <w:t xml:space="preserve"> 16 ст.255 НК РФ).</w:t>
      </w:r>
      <w:r/>
    </w:p>
    <w:p>
      <w:pPr>
        <w:ind w:firstLine="567"/>
        <w:jc w:val="bot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Ф</w:t>
      </w:r>
      <w:r>
        <w:rPr>
          <w:rFonts w:cstheme="minorHAnsi"/>
          <w:color w:val="2a2a2a"/>
          <w:sz w:val="24"/>
          <w:szCs w:val="24"/>
          <w:shd w:val="clear" w:color="auto" w:fill="ffffff"/>
        </w:rPr>
        <w:t xml:space="preserve">изическое лицо может оформить </w:t>
      </w:r>
      <w:r>
        <w:rPr>
          <w:rFonts w:cstheme="minorHAnsi"/>
          <w:b/>
          <w:bCs/>
          <w:color w:val="2a2a2a"/>
          <w:sz w:val="24"/>
          <w:szCs w:val="24"/>
          <w:shd w:val="clear" w:color="auto" w:fill="ffffff"/>
        </w:rPr>
        <w:t xml:space="preserve">социальный налоговый вычет</w:t>
      </w:r>
      <w:r>
        <w:rPr>
          <w:rFonts w:cstheme="minorHAnsi"/>
          <w:color w:val="2a2a2a"/>
          <w:sz w:val="24"/>
          <w:szCs w:val="24"/>
          <w:shd w:val="clear" w:color="auto" w:fill="ffffff"/>
        </w:rPr>
        <w:t xml:space="preserve"> по расходам на пенсионные взносы ес</w:t>
      </w:r>
      <w:r>
        <w:rPr>
          <w:rFonts w:cstheme="minorHAnsi"/>
          <w:color w:val="2a2a2a"/>
          <w:sz w:val="24"/>
          <w:szCs w:val="24"/>
          <w:shd w:val="clear" w:color="auto" w:fill="ffffff"/>
        </w:rPr>
        <w:t xml:space="preserve">ли пенсионные взносы уплачивались по пенсионному договору с Фондом, заключенному в свою пользу и (или) в пользу супруга (супруги), родителей (в том числе усыновителей), детей-инвалидов (в том числе усыновленных или находящихся под опекой (попечительством).</w:t>
      </w:r>
      <w:r>
        <w:rPr>
          <w:rFonts w:ascii="Open Sans" w:hAnsi="Open Sans" w:cs="Open Sans"/>
          <w:color w:val="2a2a2a"/>
          <w:sz w:val="21"/>
          <w:szCs w:val="21"/>
          <w:shd w:val="clear" w:color="auto" w:fill="ffffff"/>
        </w:rPr>
        <w:t xml:space="preserve"> </w:t>
      </w:r>
      <w:hyperlink r:id="rId9" w:tooltip="https://npf-sng.ru/our-clients/2ndfl/" w:history="1">
        <w:r>
          <w:rPr>
            <w:rStyle w:val="604"/>
            <w:rFonts w:ascii="Open Sans" w:hAnsi="Open Sans" w:cs="Open Sans"/>
            <w:sz w:val="21"/>
            <w:szCs w:val="21"/>
            <w:shd w:val="clear" w:color="auto" w:fill="ffffff"/>
          </w:rPr>
          <w:t xml:space="preserve">Подробнее</w:t>
        </w:r>
      </w:hyperlink>
      <w:r>
        <w:rPr>
          <w:rFonts w:ascii="Open Sans" w:hAnsi="Open Sans" w:cs="Open Sans"/>
          <w:color w:val="2a2a2a"/>
          <w:sz w:val="21"/>
          <w:szCs w:val="21"/>
          <w:shd w:val="clear" w:color="auto" w:fill="ffffff"/>
        </w:rPr>
        <w:t xml:space="preserve">.</w:t>
      </w:r>
      <w:r/>
    </w:p>
    <w:p>
      <w:pPr>
        <w:pStyle w:val="605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pStyle w:val="605"/>
        <w:ind w:firstLine="567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Налогообложение дохода в виде негосударственной пенсии</w:t>
      </w:r>
      <w:r/>
    </w:p>
    <w:p>
      <w:pPr>
        <w:pStyle w:val="605"/>
        <w:ind w:firstLine="567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pStyle w:val="605"/>
        <w:ind w:firstLine="567"/>
        <w:jc w:val="both"/>
        <w:rPr>
          <w:rFonts w:asciiTheme="minorHAnsi" w:hAnsiTheme="minorHAnsi" w:cstheme="minorHAnsi"/>
          <w:sz w:val="24"/>
          <w:szCs w:val="24"/>
          <w:highlight w:val="none"/>
        </w:rPr>
      </w:pPr>
      <w:r>
        <w:rPr>
          <w:rFonts w:asciiTheme="minorHAnsi" w:hAnsiTheme="minorHAnsi" w:cstheme="minorHAnsi"/>
          <w:sz w:val="24"/>
          <w:szCs w:val="24"/>
          <w:highlight w:val="none"/>
        </w:rPr>
        <w:t xml:space="preserve">Негосударственная пенсия, выплачиваема</w:t>
      </w:r>
      <w:r>
        <w:rPr>
          <w:rFonts w:asciiTheme="minorHAnsi" w:hAnsiTheme="minorHAnsi" w:cstheme="minorHAnsi"/>
          <w:sz w:val="24"/>
          <w:szCs w:val="24"/>
          <w:highlight w:val="none"/>
        </w:rPr>
        <w:t xml:space="preserve">я Фондом физическому лицу (участнику), по пенсионному договору, заключенным физическими лицами  в пользу членов семьи и (или) близких родственников в соответствии с Семейным кодексом Российской Федерации (супругов, родителей и детей, в том числе усыновител</w:t>
      </w:r>
      <w:r>
        <w:rPr>
          <w:rFonts w:asciiTheme="minorHAnsi" w:hAnsiTheme="minorHAnsi" w:cstheme="minorHAnsi"/>
          <w:sz w:val="24"/>
          <w:szCs w:val="24"/>
          <w:highlight w:val="none"/>
        </w:rPr>
        <w:t xml:space="preserve">ей и усыновленных, дедушки, бабушки и внуков, полнородных и неполнородных (имеющих общих отца или мать) братьев и сестер), детей-инвалидов, находящихся под опекой (попечительством), а также заключенному указанным лицом в свою пользу, НДФЛ не облагается (ч.</w:t>
      </w:r>
      <w:r>
        <w:rPr>
          <w:rFonts w:asciiTheme="minorHAnsi" w:hAnsiTheme="minorHAnsi" w:cstheme="minorHAnsi"/>
          <w:sz w:val="24"/>
          <w:szCs w:val="24"/>
          <w:highlight w:val="none"/>
        </w:rPr>
        <w:t xml:space="preserve">1,</w:t>
      </w:r>
      <w:r>
        <w:rPr>
          <w:rFonts w:asciiTheme="minorHAnsi" w:hAnsiTheme="minorHAnsi" w:cstheme="minorHAnsi"/>
          <w:sz w:val="24"/>
          <w:szCs w:val="24"/>
          <w:highlight w:val="none"/>
        </w:rPr>
        <w:t xml:space="preserve">2 ст.213.1 НК РФ).</w:t>
      </w:r>
      <w:r>
        <w:rPr>
          <w:highlight w:val="none"/>
        </w:rPr>
      </w:r>
    </w:p>
    <w:p>
      <w:pPr>
        <w:pStyle w:val="605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highlight w:val="none"/>
        </w:rPr>
        <w:t xml:space="preserve">По пенсионному договору, заключенному вкладчиком (юридическим или физическим лицом) в пользу третьего лица</w:t>
      </w:r>
      <w:r>
        <w:rPr>
          <w:rFonts w:asciiTheme="minorHAnsi" w:hAnsiTheme="minorHAnsi" w:cstheme="minorHAnsi"/>
          <w:sz w:val="24"/>
          <w:szCs w:val="24"/>
          <w:highlight w:val="none"/>
        </w:rPr>
        <w:t xml:space="preserve">, </w:t>
      </w:r>
      <w:r>
        <w:rPr>
          <w:rFonts w:asciiTheme="minorHAnsi" w:hAnsiTheme="minorHAnsi" w:cstheme="minorHAnsi"/>
          <w:sz w:val="24"/>
          <w:szCs w:val="24"/>
          <w:highlight w:val="none"/>
        </w:rPr>
        <w:t xml:space="preserve">не являющегося</w:t>
      </w:r>
      <w:r>
        <w:rPr>
          <w:rFonts w:asciiTheme="minorHAnsi" w:hAnsiTheme="minorHAnsi" w:cstheme="minorHAnsi"/>
          <w:sz w:val="24"/>
          <w:szCs w:val="24"/>
          <w:highlight w:val="none"/>
        </w:rPr>
        <w:t xml:space="preserve"> членом семьи и (или) близким родственником в соответствии с Семейным кодексом Российской Федерации</w:t>
      </w:r>
      <w:r>
        <w:rPr>
          <w:rFonts w:asciiTheme="minorHAnsi" w:hAnsiTheme="minorHAnsi" w:cstheme="minorHAnsi"/>
          <w:sz w:val="24"/>
          <w:szCs w:val="24"/>
          <w:highlight w:val="none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негосударственная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пенсия выплачиваемая Фондом участни</w:t>
      </w:r>
      <w:r>
        <w:rPr>
          <w:rFonts w:asciiTheme="minorHAnsi" w:hAnsiTheme="minorHAnsi" w:cstheme="minorHAnsi"/>
          <w:sz w:val="24"/>
          <w:szCs w:val="24"/>
        </w:rPr>
        <w:t xml:space="preserve">ку (третьему лицу), облагается НДФЛ. При этом ставка НДФЛ будет зависеть от налогового статуса участника. Если участник является налоговым резидентом РФ, НДФЛ будет удерживаться по ставке 13%, в отношении нерезидентов РФ ставка НДФЛ будет составлять 30%.  </w:t>
      </w:r>
      <w:r/>
    </w:p>
    <w:p>
      <w:pPr>
        <w:pStyle w:val="605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Налоговый статус </w:t>
      </w:r>
      <w:r>
        <w:rPr>
          <w:rFonts w:asciiTheme="minorHAnsi" w:hAnsiTheme="minorHAnsi" w:cstheme="minorHAnsi"/>
          <w:sz w:val="24"/>
          <w:szCs w:val="24"/>
        </w:rPr>
        <w:t xml:space="preserve">участника</w:t>
      </w:r>
      <w:r>
        <w:rPr>
          <w:rFonts w:asciiTheme="minorHAnsi" w:hAnsiTheme="minorHAnsi" w:cstheme="minorHAnsi"/>
          <w:sz w:val="24"/>
          <w:szCs w:val="24"/>
        </w:rPr>
        <w:t xml:space="preserve"> зависит от количества дней, проведенных в России в течение 12 следующих подряд месяцев.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Если срок пребывания в России менее 183 дней, то </w:t>
      </w:r>
      <w:r>
        <w:rPr>
          <w:rFonts w:asciiTheme="minorHAnsi" w:hAnsiTheme="minorHAnsi" w:cstheme="minorHAnsi"/>
          <w:sz w:val="24"/>
          <w:szCs w:val="24"/>
        </w:rPr>
        <w:t xml:space="preserve">участник признается</w:t>
      </w:r>
      <w:r>
        <w:rPr>
          <w:rFonts w:asciiTheme="minorHAnsi" w:hAnsiTheme="minorHAnsi" w:cstheme="minorHAnsi"/>
          <w:sz w:val="24"/>
          <w:szCs w:val="24"/>
        </w:rPr>
        <w:t xml:space="preserve"> налоговым нерезидентом</w:t>
      </w:r>
      <w:r>
        <w:rPr>
          <w:rFonts w:asciiTheme="minorHAnsi" w:hAnsiTheme="minorHAnsi" w:cstheme="minorHAnsi"/>
          <w:sz w:val="24"/>
          <w:szCs w:val="24"/>
        </w:rPr>
        <w:t xml:space="preserve">, а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е</w:t>
      </w:r>
      <w:r>
        <w:rPr>
          <w:rFonts w:asciiTheme="minorHAnsi" w:hAnsiTheme="minorHAnsi" w:cstheme="minorHAnsi"/>
          <w:sz w:val="24"/>
          <w:szCs w:val="24"/>
        </w:rPr>
        <w:t xml:space="preserve">сли 183 дня и более, то он </w:t>
      </w:r>
      <w:r>
        <w:rPr>
          <w:rFonts w:asciiTheme="minorHAnsi" w:hAnsiTheme="minorHAnsi" w:cstheme="minorHAnsi"/>
          <w:sz w:val="24"/>
          <w:szCs w:val="24"/>
        </w:rPr>
        <w:t xml:space="preserve">является налоговым </w:t>
      </w:r>
      <w:r>
        <w:rPr>
          <w:rFonts w:asciiTheme="minorHAnsi" w:hAnsiTheme="minorHAnsi" w:cstheme="minorHAnsi"/>
          <w:sz w:val="24"/>
          <w:szCs w:val="24"/>
        </w:rPr>
        <w:t xml:space="preserve">резидент</w:t>
      </w:r>
      <w:r>
        <w:rPr>
          <w:rFonts w:asciiTheme="minorHAnsi" w:hAnsiTheme="minorHAnsi" w:cstheme="minorHAnsi"/>
          <w:sz w:val="24"/>
          <w:szCs w:val="24"/>
        </w:rPr>
        <w:t xml:space="preserve">ом</w:t>
      </w:r>
      <w:r>
        <w:rPr>
          <w:rFonts w:asciiTheme="minorHAnsi" w:hAnsiTheme="minorHAnsi" w:cstheme="minorHAnsi"/>
          <w:sz w:val="24"/>
          <w:szCs w:val="24"/>
        </w:rPr>
        <w:t xml:space="preserve"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Налоговыми резидентами независимо от этого периода являются российские военные, служащие за границей, и сотрудники органов власти, командированные за рубеж.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Перечень документов для подтверждения статуса </w:t>
      </w:r>
      <w:r>
        <w:rPr>
          <w:rFonts w:asciiTheme="minorHAnsi" w:hAnsiTheme="minorHAnsi" w:cstheme="minorHAnsi"/>
          <w:sz w:val="24"/>
          <w:szCs w:val="24"/>
        </w:rPr>
        <w:t xml:space="preserve">налогового </w:t>
      </w:r>
      <w:r>
        <w:rPr>
          <w:rFonts w:asciiTheme="minorHAnsi" w:hAnsiTheme="minorHAnsi" w:cstheme="minorHAnsi"/>
          <w:sz w:val="24"/>
          <w:szCs w:val="24"/>
        </w:rPr>
        <w:t xml:space="preserve">резидента РФ может меняться в зависимости от того, насколько часто физ</w:t>
      </w:r>
      <w:r>
        <w:rPr>
          <w:rFonts w:asciiTheme="minorHAnsi" w:hAnsiTheme="minorHAnsi" w:cstheme="minorHAnsi"/>
          <w:sz w:val="24"/>
          <w:szCs w:val="24"/>
        </w:rPr>
        <w:t xml:space="preserve">ическое </w:t>
      </w:r>
      <w:r>
        <w:rPr>
          <w:rFonts w:asciiTheme="minorHAnsi" w:hAnsiTheme="minorHAnsi" w:cstheme="minorHAnsi"/>
          <w:sz w:val="24"/>
          <w:szCs w:val="24"/>
        </w:rPr>
        <w:t xml:space="preserve">лицо бывает за рубежом.</w:t>
      </w:r>
      <w:r/>
    </w:p>
    <w:p>
      <w:pPr>
        <w:ind w:firstLine="567"/>
        <w:jc w:val="bot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удержании НДФЛ с выплачиваемой участнику негосударственной пенсии сумма, с которой удерживается налог, может </w:t>
      </w:r>
      <w:r>
        <w:rPr>
          <w:rFonts w:cstheme="minorHAnsi"/>
          <w:sz w:val="24"/>
          <w:szCs w:val="24"/>
        </w:rPr>
        <w:t xml:space="preserve">быть уменьшена на сумму стандартных налоговых вычетов (</w:t>
      </w:r>
      <w:r>
        <w:rPr>
          <w:rFonts w:cstheme="minorHAnsi"/>
          <w:sz w:val="24"/>
          <w:szCs w:val="24"/>
        </w:rPr>
        <w:t xml:space="preserve">СтНВ</w:t>
      </w:r>
      <w:r>
        <w:rPr>
          <w:rFonts w:cstheme="minorHAnsi"/>
          <w:sz w:val="24"/>
          <w:szCs w:val="24"/>
        </w:rPr>
        <w:t xml:space="preserve">), на которые участник имеет право (ст. 218 НК РФ). </w:t>
      </w:r>
      <w:r/>
    </w:p>
    <w:p>
      <w:pPr>
        <w:jc w:val="both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jc w:val="both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jc w:val="both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jc w:val="both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jc w:val="both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jc w:val="both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jc w:val="both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Пример расчёта НДФЛ, взимаемого с пенсии, выплаченной по </w:t>
      </w:r>
      <w:r>
        <w:rPr>
          <w:rFonts w:cstheme="minorHAnsi"/>
          <w:b/>
          <w:bCs/>
          <w:sz w:val="24"/>
          <w:szCs w:val="24"/>
        </w:rPr>
        <w:t xml:space="preserve">пенсионному договору</w:t>
      </w:r>
      <w:r>
        <w:rPr>
          <w:rFonts w:cstheme="minorHAnsi"/>
          <w:b/>
          <w:bCs/>
          <w:sz w:val="24"/>
          <w:szCs w:val="24"/>
        </w:rPr>
        <w:t xml:space="preserve"> участнику-резиденту</w:t>
      </w:r>
      <w:r>
        <w:rPr>
          <w:rFonts w:cstheme="minorHAnsi"/>
          <w:b/>
          <w:bCs/>
          <w:sz w:val="24"/>
          <w:szCs w:val="24"/>
        </w:rPr>
        <w:t xml:space="preserve"> (ставка НДФЛ - 13%)</w:t>
      </w:r>
      <w:r>
        <w:rPr>
          <w:rFonts w:cstheme="minorHAnsi"/>
          <w:b/>
          <w:bCs/>
          <w:sz w:val="24"/>
          <w:szCs w:val="24"/>
        </w:rPr>
        <w:t xml:space="preserve">, имеющему право на </w:t>
      </w:r>
      <w:r>
        <w:rPr>
          <w:rFonts w:cstheme="minorHAnsi"/>
          <w:b/>
          <w:bCs/>
          <w:sz w:val="24"/>
          <w:szCs w:val="24"/>
        </w:rPr>
        <w:t xml:space="preserve">СтНВ</w:t>
      </w:r>
      <w:r>
        <w:rPr>
          <w:rFonts w:cstheme="minorHAnsi"/>
          <w:b/>
          <w:bCs/>
          <w:sz w:val="24"/>
          <w:szCs w:val="24"/>
        </w:rPr>
        <w:t xml:space="preserve">:</w:t>
      </w:r>
      <w:r/>
    </w:p>
    <w:p>
      <w:pPr>
        <w:jc w:val="bot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tbl>
      <w:tblPr>
        <w:tblW w:w="7159" w:type="dxa"/>
        <w:jc w:val="center"/>
        <w:tblLook w:val="04A0" w:firstRow="1" w:lastRow="0" w:firstColumn="1" w:lastColumn="0" w:noHBand="0" w:noVBand="1"/>
      </w:tblPr>
      <w:tblGrid>
        <w:gridCol w:w="1274"/>
        <w:gridCol w:w="1600"/>
        <w:gridCol w:w="1280"/>
        <w:gridCol w:w="1600"/>
        <w:gridCol w:w="1465"/>
      </w:tblGrid>
      <w:tr>
        <w:trPr>
          <w:jc w:val="center"/>
          <w:trHeight w:val="476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Отчетный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br/>
              <w:t xml:space="preserve">месяц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00" w:type="dxa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Сумма дохода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(пенсии)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0" w:type="dxa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Код вычета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*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00" w:type="dxa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Сумма вычета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,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руб.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0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Сумма налога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br/>
              <w:t xml:space="preserve">исчисления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, руб.</w:t>
            </w:r>
            <w:r/>
          </w:p>
        </w:tc>
      </w:tr>
      <w:tr>
        <w:trPr>
          <w:jc w:val="center"/>
          <w:trHeight w:val="476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4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0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0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05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45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4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0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0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05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Январь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500,00 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Февраль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500,00 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Март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6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528,00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500,00 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0,00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Апрель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500,00 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Май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500,00 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Июнь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6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528,00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500,00 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0,00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Июль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500,00 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Август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500,00 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Сентябрь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7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182,00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500,00 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0,00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Октябрь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500,00 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Ноябрь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500,00 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Декабрь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7</w:t>
            </w: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182,00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104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500,00 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0,00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126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274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127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1 400,00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405" w:type="dxa"/>
            <w:vAlign w:val="bottom"/>
            <w:vMerge w:val="continue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25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274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Итого: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27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420,00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60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39 600,00 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05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0,00</w:t>
            </w:r>
            <w:r/>
          </w:p>
        </w:tc>
      </w:tr>
    </w:tbl>
    <w:p>
      <w:pPr>
        <w:jc w:val="bot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jc w:val="both"/>
        <w:spacing w:after="0" w:line="240" w:lineRule="auto"/>
        <w:rPr>
          <w:rFonts w:cstheme="minorHAnsi"/>
          <w:sz w:val="20"/>
          <w:szCs w:val="20"/>
        </w:rPr>
        <w:outlineLvl w:val="0"/>
      </w:pPr>
      <w:r>
        <w:rPr>
          <w:rFonts w:cstheme="minorHAnsi"/>
          <w:sz w:val="20"/>
          <w:szCs w:val="20"/>
        </w:rPr>
        <w:t xml:space="preserve">* Расшифровка кодов применяемых в расчете стандартных налоговых вычетов:</w:t>
      </w:r>
      <w:r/>
    </w:p>
    <w:p>
      <w:pPr>
        <w:jc w:val="both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104</w:t>
      </w:r>
      <w:r>
        <w:rPr>
          <w:rFonts w:cstheme="minorHAnsi"/>
          <w:sz w:val="20"/>
          <w:szCs w:val="20"/>
        </w:rPr>
        <w:t xml:space="preserve"> - 500 рублей – в отношении ветеранов ВОВ, инвалидов </w:t>
      </w:r>
      <w:r>
        <w:rPr>
          <w:rFonts w:cstheme="minorHAnsi"/>
          <w:sz w:val="20"/>
          <w:szCs w:val="20"/>
          <w:lang w:val="en-US"/>
        </w:rPr>
        <w:t xml:space="preserve">I</w:t>
      </w:r>
      <w:r>
        <w:rPr>
          <w:rFonts w:cstheme="minorHAnsi"/>
          <w:sz w:val="20"/>
          <w:szCs w:val="20"/>
        </w:rPr>
        <w:t xml:space="preserve"> и </w:t>
      </w:r>
      <w:r>
        <w:rPr>
          <w:rFonts w:cstheme="minorHAnsi"/>
          <w:sz w:val="20"/>
          <w:szCs w:val="20"/>
          <w:lang w:val="en-US"/>
        </w:rPr>
        <w:t xml:space="preserve">II</w:t>
      </w:r>
      <w:r>
        <w:rPr>
          <w:rFonts w:cstheme="minorHAnsi"/>
          <w:sz w:val="20"/>
          <w:szCs w:val="20"/>
        </w:rPr>
        <w:t xml:space="preserve"> группы, блокадников Ленинграда, ликвидаторов катастрофы на </w:t>
      </w:r>
      <w:r>
        <w:rPr>
          <w:rFonts w:cstheme="minorHAnsi"/>
          <w:sz w:val="20"/>
          <w:szCs w:val="20"/>
        </w:rPr>
        <w:t xml:space="preserve">Черенобыльской</w:t>
      </w:r>
      <w:r>
        <w:rPr>
          <w:rFonts w:cstheme="minorHAnsi"/>
          <w:sz w:val="20"/>
          <w:szCs w:val="20"/>
        </w:rPr>
        <w:t xml:space="preserve"> АЭС и др. (подп.2 ч.1 ст.218 НК РФ).</w:t>
      </w:r>
      <w:r/>
    </w:p>
    <w:p>
      <w:pPr>
        <w:jc w:val="both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126</w:t>
      </w:r>
      <w:r>
        <w:rPr>
          <w:rFonts w:cstheme="minorHAnsi"/>
          <w:sz w:val="20"/>
          <w:szCs w:val="20"/>
        </w:rPr>
        <w:t xml:space="preserve"> – 1 400 рублей - на первого ребенка в возраст</w:t>
      </w:r>
      <w:r>
        <w:rPr>
          <w:rFonts w:cstheme="minorHAnsi"/>
          <w:sz w:val="20"/>
          <w:szCs w:val="20"/>
        </w:rPr>
        <w:t xml:space="preserve">е до 18 лет, а также на каждого учащегося очной формы обучения, аспиранта, ординатора, интерна, студента, курсанта в возрасте до 24 лет - родителю, супруге (супругу) родителя, усыновителю, на обеспечении которых находится ребенок (подп.4 ч.1 ст.218 НК РФ).</w:t>
      </w:r>
      <w:r/>
    </w:p>
    <w:p>
      <w:pPr>
        <w:jc w:val="both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127</w:t>
      </w:r>
      <w:r>
        <w:rPr>
          <w:rFonts w:cstheme="minorHAnsi"/>
          <w:sz w:val="20"/>
          <w:szCs w:val="20"/>
        </w:rPr>
        <w:t xml:space="preserve"> – 1 400 рублей - на второго ребенка в возра</w:t>
      </w:r>
      <w:r>
        <w:rPr>
          <w:rFonts w:cstheme="minorHAnsi"/>
          <w:sz w:val="20"/>
          <w:szCs w:val="20"/>
        </w:rPr>
        <w:t xml:space="preserve">сте до 18 лет, а также на каждого учащегося очной формы обучения, аспиранта, ординатора, интерна, студента, курсанта в возрасте до 24 лет родителю, супруге (супругу) родителя, усыновителю, на обеспечении которых находится ребенок (подп.4 ч.1 ст.218 НК РФ).</w:t>
      </w:r>
      <w:r/>
    </w:p>
    <w:p>
      <w:pPr>
        <w:jc w:val="both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jc w:val="both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Пример расчёта НДФЛ, взимаемого с пенсии, выплаченной по пенсионному договору участнику-нерезиденту (</w:t>
      </w:r>
      <w:r>
        <w:rPr>
          <w:rFonts w:cstheme="minorHAnsi"/>
          <w:b/>
          <w:bCs/>
          <w:sz w:val="24"/>
          <w:szCs w:val="24"/>
        </w:rPr>
        <w:t xml:space="preserve">ставка НДФЛ - </w:t>
      </w:r>
      <w:r>
        <w:rPr>
          <w:rFonts w:cstheme="minorHAnsi"/>
          <w:b/>
          <w:bCs/>
          <w:sz w:val="24"/>
          <w:szCs w:val="24"/>
        </w:rPr>
        <w:t xml:space="preserve">30%):</w:t>
      </w:r>
      <w:r/>
    </w:p>
    <w:p>
      <w:pPr>
        <w:jc w:val="bot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tbl>
      <w:tblPr>
        <w:tblW w:w="4143" w:type="pct"/>
        <w:jc w:val="center"/>
        <w:tblLayout w:type="fixed"/>
        <w:tblLook w:val="04A0" w:firstRow="1" w:lastRow="0" w:firstColumn="1" w:lastColumn="0" w:noHBand="0" w:noVBand="1"/>
      </w:tblPr>
      <w:tblGrid>
        <w:gridCol w:w="1420"/>
        <w:gridCol w:w="1702"/>
        <w:gridCol w:w="1274"/>
        <w:gridCol w:w="1559"/>
        <w:gridCol w:w="1552"/>
        <w:gridCol w:w="236"/>
      </w:tblGrid>
      <w:tr>
        <w:trPr>
          <w:gridAfter w:val="1"/>
          <w:jc w:val="center"/>
          <w:trHeight w:val="476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17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Отчетный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br/>
              <w:t xml:space="preserve">месяц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99" w:type="pct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Сумма дохода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(пенсии)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pct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Код вычета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7" w:type="pct"/>
            <w:vAlign w:val="center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Сумма вычета, 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руб.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2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Сумма налога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br/>
              <w:t xml:space="preserve">исчисления, руб.</w:t>
            </w:r>
            <w:r/>
          </w:p>
        </w:tc>
      </w:tr>
      <w:tr>
        <w:trPr>
          <w:jc w:val="center"/>
          <w:trHeight w:val="31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17" w:type="pct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99" w:type="pct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pct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7" w:type="pct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2" w:type="pct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17" w:type="pct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99" w:type="pct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pct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7" w:type="pct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2" w:type="pct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" w:type="pct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1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Январь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99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823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tcW w:w="15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1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Февраль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99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823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tcW w:w="15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1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Март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99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9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009,00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823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2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703,00</w:t>
            </w:r>
            <w:r/>
          </w:p>
        </w:tc>
        <w:tc>
          <w:tcPr>
            <w:tcW w:w="15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1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Апрель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99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823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tcW w:w="15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1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Май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99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823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tcW w:w="15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1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Июнь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99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9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009,00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823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2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703,00</w:t>
            </w:r>
            <w:r/>
          </w:p>
        </w:tc>
        <w:tc>
          <w:tcPr>
            <w:tcW w:w="15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1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Июль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99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823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tcW w:w="15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1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Август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99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823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tcW w:w="15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1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Сентябрь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99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9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909,00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823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2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973,00</w:t>
            </w:r>
            <w:r/>
          </w:p>
        </w:tc>
        <w:tc>
          <w:tcPr>
            <w:tcW w:w="15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1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Октябрь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99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823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tcW w:w="15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1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Ноябрь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99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823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tcW w:w="15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1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Декабрь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99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9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909,00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823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00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2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973,00</w:t>
            </w:r>
            <w:r/>
          </w:p>
        </w:tc>
        <w:tc>
          <w:tcPr>
            <w:tcW w:w="15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1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Итого: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99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37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836,00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23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0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0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11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352,00</w:t>
            </w:r>
            <w:r/>
          </w:p>
        </w:tc>
        <w:tc>
          <w:tcPr>
            <w:tcW w:w="15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17" w:type="pct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99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23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07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02" w:type="pct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  <w:tc>
          <w:tcPr>
            <w:tcW w:w="152" w:type="pct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</w:r>
            <w:r/>
          </w:p>
        </w:tc>
      </w:tr>
    </w:tbl>
    <w:p>
      <w:pPr>
        <w:jc w:val="both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</w:r>
      <w:r/>
    </w:p>
    <w:p>
      <w:pPr>
        <w:pStyle w:val="605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pStyle w:val="605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Налогообложение выкупных сумм</w:t>
      </w:r>
      <w:r/>
    </w:p>
    <w:p>
      <w:pPr>
        <w:pStyle w:val="605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</w:r>
      <w:r/>
    </w:p>
    <w:p>
      <w:pPr>
        <w:pStyle w:val="605"/>
        <w:ind w:firstLine="5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При расторжении пенсионного договора, заключенного вкладчиком - физическим лицом с Фондом: </w:t>
      </w:r>
      <w:r/>
    </w:p>
    <w:p>
      <w:pPr>
        <w:ind w:firstLine="567"/>
        <w:jc w:val="both"/>
        <w:spacing w:after="0" w:line="240" w:lineRule="auto"/>
        <w:tabs>
          <w:tab w:val="left" w:pos="851" w:leader="none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ind w:firstLine="567"/>
        <w:jc w:val="both"/>
        <w:spacing w:after="0" w:line="240" w:lineRule="auto"/>
        <w:tabs>
          <w:tab w:val="left" w:pos="851" w:leader="none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а) </w:t>
      </w:r>
      <w:bookmarkStart w:id="0" w:name="_Hlk80784932"/>
      <w:r>
        <w:rPr>
          <w:rFonts w:cstheme="minorHAnsi"/>
          <w:sz w:val="24"/>
          <w:szCs w:val="24"/>
        </w:rPr>
        <w:t xml:space="preserve">если вкладчик </w:t>
      </w:r>
      <w:r>
        <w:rPr>
          <w:rFonts w:cstheme="minorHAnsi"/>
          <w:sz w:val="24"/>
          <w:szCs w:val="24"/>
          <w:u w:val="single"/>
        </w:rPr>
        <w:t xml:space="preserve">предоставит в Фонд справку</w:t>
      </w:r>
      <w:r>
        <w:rPr>
          <w:rFonts w:cstheme="minorHAnsi"/>
          <w:sz w:val="24"/>
          <w:szCs w:val="24"/>
        </w:rPr>
        <w:t xml:space="preserve">, подтверждающую факт </w:t>
      </w:r>
      <w:r>
        <w:rPr>
          <w:rFonts w:cstheme="minorHAnsi"/>
          <w:sz w:val="24"/>
          <w:szCs w:val="24"/>
          <w:u w:val="single"/>
        </w:rPr>
        <w:t xml:space="preserve">неполучения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им </w:t>
      </w:r>
      <w:r>
        <w:rPr>
          <w:rFonts w:cstheme="minorHAnsi"/>
          <w:sz w:val="24"/>
          <w:szCs w:val="24"/>
          <w:u w:val="single"/>
        </w:rPr>
        <w:t xml:space="preserve">социального налогового вычета</w:t>
      </w:r>
      <w:r>
        <w:rPr>
          <w:rFonts w:cstheme="minorHAnsi"/>
          <w:sz w:val="24"/>
          <w:szCs w:val="24"/>
        </w:rPr>
        <w:t xml:space="preserve"> (предусмотренного </w:t>
      </w:r>
      <w:r>
        <w:rPr>
          <w:rFonts w:cstheme="minorHAnsi"/>
          <w:sz w:val="24"/>
          <w:szCs w:val="24"/>
        </w:rPr>
        <w:t xml:space="preserve">подп.4 п.1. ст. 219 НК РФ</w:t>
      </w:r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на суммы уплаченных по пенсионному договору пенсионных взносов - </w:t>
      </w:r>
      <w:bookmarkStart w:id="1" w:name="_Hlk8051762"/>
      <w:r>
        <w:rPr>
          <w:rFonts w:cstheme="minorHAnsi"/>
          <w:b/>
          <w:bCs/>
          <w:sz w:val="24"/>
          <w:szCs w:val="24"/>
        </w:rPr>
        <w:t xml:space="preserve">НДФЛ</w:t>
      </w:r>
      <w:bookmarkEnd w:id="1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будет удержан </w:t>
      </w:r>
      <w:bookmarkEnd w:id="0"/>
      <w:r>
        <w:rPr>
          <w:rFonts w:cstheme="minorHAnsi"/>
          <w:b/>
          <w:bCs/>
          <w:sz w:val="24"/>
          <w:szCs w:val="24"/>
        </w:rPr>
        <w:t xml:space="preserve">с разницы между выкупной суммой и уплаченными</w:t>
      </w:r>
      <w:r>
        <w:rPr>
          <w:rFonts w:cstheme="minorHAnsi"/>
          <w:sz w:val="24"/>
          <w:szCs w:val="24"/>
        </w:rPr>
        <w:t xml:space="preserve"> за период действия пенсионного договора </w:t>
      </w:r>
      <w:r>
        <w:rPr>
          <w:rFonts w:cstheme="minorHAnsi"/>
          <w:b/>
          <w:bCs/>
          <w:sz w:val="24"/>
          <w:szCs w:val="24"/>
        </w:rPr>
        <w:t xml:space="preserve">пенсионными взносами</w:t>
      </w:r>
      <w:r>
        <w:rPr>
          <w:rFonts w:cstheme="minorHAnsi"/>
          <w:sz w:val="24"/>
          <w:szCs w:val="24"/>
        </w:rPr>
        <w:t xml:space="preserve">;</w:t>
      </w:r>
      <w:r/>
    </w:p>
    <w:p>
      <w:pPr>
        <w:ind w:firstLine="567"/>
        <w:jc w:val="both"/>
        <w:spacing w:after="0" w:line="240" w:lineRule="auto"/>
        <w:tabs>
          <w:tab w:val="left" w:pos="851" w:leader="none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б) </w:t>
      </w:r>
      <w:r>
        <w:rPr>
          <w:rFonts w:cstheme="minorHAnsi"/>
          <w:sz w:val="24"/>
          <w:szCs w:val="24"/>
        </w:rPr>
        <w:t xml:space="preserve">если вкладчик </w:t>
      </w:r>
      <w:r>
        <w:rPr>
          <w:rFonts w:cstheme="minorHAnsi"/>
          <w:sz w:val="24"/>
          <w:szCs w:val="24"/>
          <w:u w:val="single"/>
        </w:rPr>
        <w:t xml:space="preserve">предоставит в Фонд справку</w:t>
      </w:r>
      <w:r>
        <w:rPr>
          <w:rFonts w:cstheme="minorHAnsi"/>
          <w:sz w:val="24"/>
          <w:szCs w:val="24"/>
        </w:rPr>
        <w:t xml:space="preserve">, подтверждающую факт </w:t>
      </w:r>
      <w:r>
        <w:rPr>
          <w:rFonts w:cstheme="minorHAnsi"/>
          <w:sz w:val="24"/>
          <w:szCs w:val="24"/>
          <w:u w:val="single"/>
        </w:rPr>
        <w:t xml:space="preserve">получения</w:t>
      </w:r>
      <w:r>
        <w:rPr>
          <w:rFonts w:cstheme="minorHAnsi"/>
          <w:sz w:val="24"/>
          <w:szCs w:val="24"/>
        </w:rPr>
        <w:t xml:space="preserve"> им </w:t>
      </w:r>
      <w:r>
        <w:rPr>
          <w:rFonts w:cstheme="minorHAnsi"/>
          <w:sz w:val="24"/>
          <w:szCs w:val="24"/>
          <w:u w:val="single"/>
        </w:rPr>
        <w:t xml:space="preserve">социального налогового вычета</w:t>
      </w:r>
      <w:r>
        <w:rPr>
          <w:rFonts w:cstheme="minorHAnsi"/>
          <w:sz w:val="24"/>
          <w:szCs w:val="24"/>
        </w:rPr>
        <w:t xml:space="preserve"> на суммы уплаченных пенсионных взносов, </w:t>
      </w:r>
      <w:r>
        <w:rPr>
          <w:rFonts w:cstheme="minorHAnsi"/>
          <w:b/>
          <w:bCs/>
          <w:sz w:val="24"/>
          <w:szCs w:val="24"/>
        </w:rPr>
        <w:t xml:space="preserve">дополнительно</w:t>
      </w:r>
      <w:r>
        <w:rPr>
          <w:rFonts w:cstheme="minorHAnsi"/>
          <w:sz w:val="24"/>
          <w:szCs w:val="24"/>
        </w:rPr>
        <w:t xml:space="preserve"> к удержанию, указанному в п. «а», Фонд произведет </w:t>
      </w:r>
      <w:r>
        <w:rPr>
          <w:rFonts w:cstheme="minorHAnsi"/>
          <w:b/>
          <w:bCs/>
          <w:sz w:val="24"/>
          <w:szCs w:val="24"/>
        </w:rPr>
        <w:t xml:space="preserve">удержание</w:t>
      </w:r>
      <w:r>
        <w:rPr>
          <w:rFonts w:cstheme="minorHAnsi"/>
          <w:sz w:val="24"/>
          <w:szCs w:val="24"/>
        </w:rPr>
        <w:t xml:space="preserve"> и уплату в бюджет РФ </w:t>
      </w:r>
      <w:r>
        <w:rPr>
          <w:rFonts w:cstheme="minorHAnsi"/>
          <w:sz w:val="24"/>
          <w:szCs w:val="24"/>
        </w:rPr>
        <w:t xml:space="preserve">НДФЛ с </w:t>
      </w:r>
      <w:r>
        <w:rPr>
          <w:rFonts w:cstheme="minorHAnsi"/>
          <w:sz w:val="24"/>
          <w:szCs w:val="24"/>
        </w:rPr>
        <w:t xml:space="preserve">суммы </w:t>
      </w:r>
      <w:r>
        <w:rPr>
          <w:rFonts w:cstheme="minorHAnsi"/>
          <w:b/>
          <w:bCs/>
          <w:sz w:val="24"/>
          <w:szCs w:val="24"/>
        </w:rPr>
        <w:t xml:space="preserve">ранее предоставленного вычета</w:t>
      </w:r>
      <w:r>
        <w:rPr>
          <w:rFonts w:cstheme="minorHAnsi"/>
          <w:sz w:val="24"/>
          <w:szCs w:val="24"/>
        </w:rPr>
        <w:t xml:space="preserve">;</w:t>
      </w:r>
      <w:r/>
    </w:p>
    <w:p>
      <w:pPr>
        <w:ind w:firstLine="567"/>
        <w:jc w:val="both"/>
        <w:spacing w:after="0" w:line="240" w:lineRule="auto"/>
        <w:tabs>
          <w:tab w:val="left" w:pos="993" w:leader="none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в) если вкладчик </w:t>
      </w:r>
      <w:r>
        <w:rPr>
          <w:rFonts w:cstheme="minorHAnsi"/>
          <w:sz w:val="24"/>
          <w:szCs w:val="24"/>
          <w:u w:val="single"/>
        </w:rPr>
        <w:t xml:space="preserve">не предоставит </w:t>
      </w:r>
      <w:r>
        <w:rPr>
          <w:rFonts w:cstheme="minorHAnsi"/>
          <w:sz w:val="24"/>
          <w:szCs w:val="24"/>
          <w:u w:val="single"/>
        </w:rPr>
        <w:t xml:space="preserve">в Фонд </w:t>
      </w:r>
      <w:r>
        <w:rPr>
          <w:rFonts w:cstheme="minorHAnsi"/>
          <w:sz w:val="24"/>
          <w:szCs w:val="24"/>
          <w:u w:val="single"/>
        </w:rPr>
        <w:t xml:space="preserve">справку</w:t>
      </w:r>
      <w:r>
        <w:rPr>
          <w:rFonts w:cstheme="minorHAnsi"/>
          <w:sz w:val="24"/>
          <w:szCs w:val="24"/>
        </w:rPr>
        <w:t xml:space="preserve">,</w:t>
      </w:r>
      <w:r>
        <w:rPr>
          <w:rFonts w:cstheme="minorHAnsi"/>
          <w:sz w:val="24"/>
          <w:szCs w:val="24"/>
        </w:rPr>
        <w:t xml:space="preserve"> подтверждающую факт получения (неполучения) социального налогового вычета на суммы уплаченных пенсионных взносов, </w:t>
      </w:r>
      <w:r>
        <w:rPr>
          <w:rFonts w:cstheme="minorHAnsi"/>
          <w:b/>
          <w:bCs/>
          <w:sz w:val="24"/>
          <w:szCs w:val="24"/>
        </w:rPr>
        <w:t xml:space="preserve">дополнительно </w:t>
      </w:r>
      <w:r>
        <w:rPr>
          <w:rFonts w:cstheme="minorHAnsi"/>
          <w:sz w:val="24"/>
          <w:szCs w:val="24"/>
        </w:rPr>
        <w:t xml:space="preserve">к удержанию, предусмотренному п. «а», Фонд произведет </w:t>
      </w:r>
      <w:r>
        <w:rPr>
          <w:rFonts w:cstheme="minorHAnsi"/>
          <w:b/>
          <w:bCs/>
          <w:sz w:val="24"/>
          <w:szCs w:val="24"/>
        </w:rPr>
        <w:t xml:space="preserve">удержание 13% НДФЛ с суммы фактически уплаченных</w:t>
      </w:r>
      <w:r>
        <w:rPr>
          <w:rFonts w:cstheme="minorHAnsi"/>
          <w:sz w:val="24"/>
          <w:szCs w:val="24"/>
        </w:rPr>
        <w:t xml:space="preserve"> вкладчиком </w:t>
      </w:r>
      <w:r>
        <w:rPr>
          <w:rFonts w:cstheme="minorHAnsi"/>
          <w:b/>
          <w:bCs/>
          <w:sz w:val="24"/>
          <w:szCs w:val="24"/>
        </w:rPr>
        <w:t xml:space="preserve">пенсионных взносов</w:t>
      </w:r>
      <w:r>
        <w:rPr>
          <w:rFonts w:cstheme="minorHAnsi"/>
          <w:sz w:val="24"/>
          <w:szCs w:val="24"/>
        </w:rPr>
        <w:t xml:space="preserve">, но не более чем, со 120 000 рублей в год.</w:t>
      </w:r>
      <w:r/>
    </w:p>
    <w:p>
      <w:pPr>
        <w:pStyle w:val="605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Справку о получении/неполучении социального налогового вычета </w:t>
      </w:r>
      <w:r>
        <w:rPr>
          <w:rFonts w:asciiTheme="minorHAnsi" w:hAnsiTheme="minorHAnsi" w:cstheme="minorHAnsi"/>
          <w:sz w:val="24"/>
          <w:szCs w:val="24"/>
        </w:rPr>
        <w:t xml:space="preserve">за предшествующие годы </w:t>
      </w:r>
      <w:r>
        <w:rPr>
          <w:rFonts w:asciiTheme="minorHAnsi" w:hAnsiTheme="minorHAnsi" w:cstheme="minorHAnsi"/>
          <w:sz w:val="24"/>
          <w:szCs w:val="24"/>
        </w:rPr>
        <w:t xml:space="preserve">можно получить в налоговом органе по месту жительства</w:t>
      </w:r>
      <w:r>
        <w:rPr>
          <w:rFonts w:asciiTheme="minorHAnsi" w:hAnsiTheme="minorHAnsi" w:cstheme="minorHAnsi"/>
          <w:sz w:val="24"/>
          <w:szCs w:val="24"/>
        </w:rPr>
        <w:t xml:space="preserve">, а за текущий год, в котором расторгается пенсионный договор – у работодателя (по месту получения основного дохода).</w:t>
      </w:r>
      <w:r/>
    </w:p>
    <w:p>
      <w:pPr>
        <w:pStyle w:val="605"/>
        <w:jc w:val="both"/>
        <w:widowControl w:val="off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</w:r>
      <w:r/>
    </w:p>
    <w:p>
      <w:pPr>
        <w:pStyle w:val="605"/>
        <w:jc w:val="both"/>
        <w:widowControl w:val="off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Пример расчета НДФЛ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при расторжении пенсионного договора в свою пользу.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Представлены справки о неполучении налогового вычета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.</w:t>
      </w:r>
      <w:r/>
    </w:p>
    <w:p>
      <w:pPr>
        <w:pStyle w:val="605"/>
        <w:jc w:val="both"/>
        <w:widowControl w:val="off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tbl>
      <w:tblPr>
        <w:tblW w:w="10342" w:type="dxa"/>
        <w:tblInd w:w="-510" w:type="dxa"/>
        <w:tblLook w:val="04A0" w:firstRow="1" w:lastRow="0" w:firstColumn="1" w:lastColumn="0" w:noHBand="0" w:noVBand="1"/>
      </w:tblPr>
      <w:tblGrid>
        <w:gridCol w:w="931"/>
        <w:gridCol w:w="1090"/>
        <w:gridCol w:w="1013"/>
        <w:gridCol w:w="1327"/>
        <w:gridCol w:w="1276"/>
        <w:gridCol w:w="980"/>
        <w:gridCol w:w="1327"/>
        <w:gridCol w:w="1319"/>
        <w:gridCol w:w="1079"/>
      </w:tblGrid>
      <w:tr>
        <w:trPr>
          <w:trHeight w:val="301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Год действия договора</w:t>
            </w:r>
            <w:r/>
          </w:p>
        </w:tc>
        <w:tc>
          <w:tcPr>
            <w:gridSpan w:val="3"/>
            <w:shd w:val="clear" w:color="auto" w:fill="auto"/>
            <w:tcBorders>
              <w:top w:val="single" w:color="auto" w:sz="8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343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Выкупная сумма</w:t>
            </w:r>
            <w:r/>
          </w:p>
        </w:tc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000000" w:sz="4" w:space="0"/>
              <w:right w:val="single" w:color="000000" w:sz="8" w:space="0"/>
            </w:tcBorders>
            <w:tcW w:w="490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Суммы, подлежащие налогообложению, при выплате выкупной суммы в случае расторжения договора, руб.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079" w:type="dxa"/>
            <w:vAlign w:val="center"/>
            <w:vMerge w:val="restart"/>
            <w:textDirection w:val="lrTb"/>
            <w:noWrap w:val="false"/>
          </w:tcPr>
          <w:p>
            <w:pPr>
              <w:ind w:right="397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НДФЛ (13%), руб. </w:t>
            </w:r>
            <w:r/>
          </w:p>
        </w:tc>
      </w:tr>
      <w:tr>
        <w:trPr>
          <w:trHeight w:val="799"/>
        </w:trPr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  <w:tc>
          <w:tcPr>
            <w:gridSpan w:val="3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4" w:space="0"/>
              <w:right w:val="single" w:color="000000" w:sz="8" w:space="0"/>
            </w:tcBorders>
            <w:tcW w:w="3430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Поступления, руб.</w:t>
            </w:r>
            <w:r/>
          </w:p>
        </w:tc>
        <w:tc>
          <w:tcPr>
            <w:gridSpan w:val="4"/>
            <w:tcBorders>
              <w:top w:val="single" w:color="auto" w:sz="8" w:space="0"/>
              <w:left w:val="single" w:color="auto" w:sz="8" w:space="0"/>
              <w:bottom w:val="single" w:color="000000" w:sz="4" w:space="0"/>
              <w:right w:val="single" w:color="000000" w:sz="8" w:space="0"/>
            </w:tcBorders>
            <w:tcW w:w="4902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07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738"/>
        </w:trPr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90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взносы       (600 000, 00 руб.)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13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Инвести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ционный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доход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27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минимальный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гарантирован-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ный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доход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7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налоговый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вычет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80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инвести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ционный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доход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27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минимальный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гарантирован-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ный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доход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1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Итого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07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01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2019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9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13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7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8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5 000,00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07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01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2020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9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200 000,00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1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20 000,00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7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8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20 000,00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20 000,00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07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01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2021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9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150 000,00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1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7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8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10 000,00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07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01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2022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9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13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15 000,00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7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8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15 000,00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15 000,00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07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01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2023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9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2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7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2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10 000,00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07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16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931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 </w:t>
            </w:r>
            <w:r/>
          </w:p>
        </w:tc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343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660 000,00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127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none" w:color="000000" w:sz="4" w:space="0"/>
            </w:tcBorders>
            <w:tcW w:w="98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none" w:color="000000" w:sz="4" w:space="0"/>
            </w:tcBorders>
            <w:tcW w:w="132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W w:w="131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60 000,00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079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7 800,00</w:t>
            </w:r>
            <w:r/>
          </w:p>
        </w:tc>
      </w:tr>
    </w:tbl>
    <w:p>
      <w:pPr>
        <w:pStyle w:val="605"/>
        <w:ind w:left="11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(660 000,00 - 600 000,00 +0) х 13% = 7</w:t>
      </w:r>
      <w:r>
        <w:rPr>
          <w:rFonts w:asciiTheme="minorHAnsi" w:hAnsiTheme="minorHAnsi" w:cstheme="minorHAnsi"/>
          <w:b/>
          <w:bCs/>
          <w:color w:val="000000"/>
        </w:rPr>
        <w:t xml:space="preserve"> </w:t>
      </w:r>
      <w:r>
        <w:rPr>
          <w:rFonts w:asciiTheme="minorHAnsi" w:hAnsiTheme="minorHAnsi" w:cstheme="minorHAnsi"/>
          <w:b/>
          <w:bCs/>
          <w:color w:val="000000"/>
        </w:rPr>
        <w:t xml:space="preserve">800 руб.</w:t>
      </w:r>
      <w:r/>
    </w:p>
    <w:p>
      <w:pPr>
        <w:pStyle w:val="605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/>
    </w:p>
    <w:p>
      <w:pPr>
        <w:pStyle w:val="605"/>
        <w:jc w:val="both"/>
        <w:widowControl w:val="off"/>
        <w:rPr>
          <w:rFonts w:asciiTheme="minorHAnsi" w:hAnsiTheme="minorHAnsi" w:cstheme="minorHAnsi"/>
          <w:b/>
          <w:bCs/>
          <w:sz w:val="24"/>
          <w:szCs w:val="24"/>
          <w:highlight w:val="none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Пример расчета НДФЛ при расторжении пенсионного в свою пользу. Представлены </w:t>
      </w:r>
      <w:r>
        <w:rPr>
          <w:rFonts w:asciiTheme="minorHAnsi" w:hAnsiTheme="minorHAnsi" w:cstheme="minorHAnsi"/>
          <w:b/>
          <w:bCs/>
          <w:sz w:val="24"/>
          <w:szCs w:val="24"/>
          <w:highlight w:val="none"/>
        </w:rPr>
        <w:t xml:space="preserve">справки о получении налогового вычета</w:t>
      </w:r>
      <w:r>
        <w:rPr>
          <w:rFonts w:asciiTheme="minorHAnsi" w:hAnsiTheme="minorHAnsi" w:cstheme="minorHAnsi"/>
          <w:b/>
          <w:bCs/>
          <w:sz w:val="24"/>
          <w:szCs w:val="24"/>
          <w:highlight w:val="none"/>
        </w:rPr>
        <w:t xml:space="preserve">:</w:t>
      </w:r>
      <w:r>
        <w:rPr>
          <w:rFonts w:asciiTheme="minorHAnsi" w:hAnsiTheme="minorHAnsi" w:cstheme="minorHAnsi"/>
          <w:b/>
          <w:bCs/>
          <w:sz w:val="24"/>
          <w:szCs w:val="24"/>
          <w:highlight w:val="none"/>
        </w:rPr>
        <w:t xml:space="preserve"> в 2019 году – 50 000 руб., в 2020 году – 120 000 руб., в 2021 году – 100 000 руб., в 2022 году – 70 000 руб., в 2023</w:t>
      </w:r>
      <w:r>
        <w:rPr>
          <w:rFonts w:asciiTheme="minorHAnsi" w:hAnsiTheme="minorHAnsi" w:cstheme="minorHAnsi"/>
          <w:b/>
          <w:bCs/>
          <w:sz w:val="24"/>
          <w:szCs w:val="24"/>
          <w:highlight w:val="none"/>
        </w:rPr>
        <w:t xml:space="preserve"> – 100 000 руб.</w:t>
      </w:r>
      <w:r>
        <w:rPr>
          <w:highlight w:val="none"/>
        </w:rPr>
      </w:r>
    </w:p>
    <w:p>
      <w:pPr>
        <w:pStyle w:val="605"/>
        <w:jc w:val="both"/>
        <w:widowControl w:val="off"/>
        <w:rPr>
          <w:rFonts w:asciiTheme="minorHAnsi" w:hAnsiTheme="minorHAnsi" w:cstheme="minorHAnsi"/>
          <w:sz w:val="24"/>
          <w:szCs w:val="24"/>
          <w:highlight w:val="yellow"/>
        </w:rPr>
      </w:pPr>
      <w:r>
        <w:rPr>
          <w:rFonts w:asciiTheme="minorHAnsi" w:hAnsiTheme="minorHAnsi" w:cstheme="minorHAnsi"/>
          <w:sz w:val="24"/>
          <w:szCs w:val="24"/>
          <w:highlight w:val="yellow"/>
        </w:rPr>
      </w:r>
      <w:r/>
    </w:p>
    <w:tbl>
      <w:tblPr>
        <w:tblW w:w="10258" w:type="dxa"/>
        <w:tblInd w:w="-434" w:type="dxa"/>
        <w:tblLook w:val="04A0" w:firstRow="1" w:lastRow="0" w:firstColumn="1" w:lastColumn="0" w:noHBand="0" w:noVBand="1"/>
      </w:tblPr>
      <w:tblGrid>
        <w:gridCol w:w="931"/>
        <w:gridCol w:w="1220"/>
        <w:gridCol w:w="960"/>
        <w:gridCol w:w="1340"/>
        <w:gridCol w:w="1160"/>
        <w:gridCol w:w="1040"/>
        <w:gridCol w:w="1327"/>
        <w:gridCol w:w="1180"/>
        <w:gridCol w:w="1100"/>
      </w:tblGrid>
      <w:tr>
        <w:trPr>
          <w:trHeight w:val="315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Год действия договора</w:t>
            </w:r>
            <w:r/>
          </w:p>
        </w:tc>
        <w:tc>
          <w:tcPr>
            <w:gridSpan w:val="3"/>
            <w:shd w:val="clear" w:color="auto" w:fill="auto"/>
            <w:tcBorders>
              <w:top w:val="single" w:color="auto" w:sz="8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352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Выкупная сумма</w:t>
            </w:r>
            <w:r/>
          </w:p>
        </w:tc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000000" w:sz="4" w:space="0"/>
              <w:right w:val="single" w:color="000000" w:sz="8" w:space="0"/>
            </w:tcBorders>
            <w:tcW w:w="4707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Суммы, подлежащие налогообложению, при выплате выкупной суммы в случае расторжения договора, руб.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1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НДФЛ (13%), руб. </w:t>
            </w:r>
            <w:r/>
          </w:p>
        </w:tc>
      </w:tr>
      <w:tr>
        <w:trPr>
          <w:trHeight w:val="1005"/>
        </w:trPr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  <w:tc>
          <w:tcPr>
            <w:gridSpan w:val="3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4" w:space="0"/>
              <w:right w:val="single" w:color="000000" w:sz="8" w:space="0"/>
            </w:tcBorders>
            <w:tcW w:w="3520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Поступления, руб.</w:t>
            </w:r>
            <w:r/>
          </w:p>
        </w:tc>
        <w:tc>
          <w:tcPr>
            <w:gridSpan w:val="4"/>
            <w:tcBorders>
              <w:top w:val="single" w:color="auto" w:sz="8" w:space="0"/>
              <w:left w:val="single" w:color="auto" w:sz="8" w:space="0"/>
              <w:bottom w:val="single" w:color="000000" w:sz="4" w:space="0"/>
              <w:right w:val="single" w:color="000000" w:sz="8" w:space="0"/>
            </w:tcBorders>
            <w:tcW w:w="4707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10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735"/>
        </w:trPr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0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взносы       (600 000, 00 руб.)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инвести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ционный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доход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40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минимальный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гарантирован-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ный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доход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60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налоговый вычет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40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инвести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br/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ционный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доход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27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минимальный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гарантирован-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ный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доход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18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Итого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10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2019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6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4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18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55 000,00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10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2020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200 000,00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20 000,00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6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120 000,00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4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20 000,00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18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140 000,00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10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2021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150 000,00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6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4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18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110 000,00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10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2022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15 000,00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6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70 000,00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4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15 000,00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18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85 000,00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10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93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2023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4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6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4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2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18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110 000,00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100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931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 </w:t>
            </w:r>
            <w:r/>
          </w:p>
        </w:tc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3520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116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440 000,00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none" w:color="000000" w:sz="4" w:space="0"/>
            </w:tcBorders>
            <w:tcW w:w="104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none" w:color="000000" w:sz="4" w:space="0"/>
            </w:tcBorders>
            <w:tcW w:w="132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W w:w="118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500 000,00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100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65 000,00  </w:t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1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r>
            <w:r/>
          </w:p>
        </w:tc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720" w:type="dxa"/>
            <w:vAlign w:val="bottom"/>
            <w:textDirection w:val="lrTb"/>
            <w:noWrap/>
          </w:tcPr>
          <w:p>
            <w:pPr>
              <w:ind w:right="-609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(660 000,00 - 600 000,00 + 440 </w:t>
            </w:r>
            <w:r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000,00</w:t>
            </w:r>
            <w:r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) х 13% = 65 000 руб.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327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00" w:type="dxa"/>
            <w:vAlign w:val="bottom"/>
            <w:textDirection w:val="lrTb"/>
            <w:noWrap/>
          </w:tcPr>
          <w:p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</w:r>
            <w:r/>
          </w:p>
        </w:tc>
      </w:tr>
    </w:tbl>
    <w:p>
      <w:pPr>
        <w:pStyle w:val="605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/>
    </w:p>
    <w:p>
      <w:pPr>
        <w:pStyle w:val="605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Пример расчета НДФЛ</w:t>
      </w:r>
      <w:bookmarkStart w:id="2" w:name="_Hlk69200555"/>
      <w:r>
        <w:rPr>
          <w:rFonts w:asciiTheme="minorHAnsi" w:hAnsiTheme="minorHAnsi" w:cstheme="minorHAnsi"/>
          <w:b/>
          <w:bCs/>
          <w:sz w:val="24"/>
          <w:szCs w:val="24"/>
        </w:rPr>
        <w:t xml:space="preserve"> при расторжении пенсионного договора, заключенного в свою пользу. Справки о получении/ неполучении налогового вычета не представлены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.</w:t>
      </w:r>
      <w:r/>
    </w:p>
    <w:p>
      <w:pPr>
        <w:pStyle w:val="605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</w:r>
      <w:r/>
    </w:p>
    <w:tbl>
      <w:tblPr>
        <w:tblW w:w="10511" w:type="dxa"/>
        <w:tblInd w:w="-622" w:type="dxa"/>
        <w:tblLook w:val="04A0" w:firstRow="1" w:lastRow="0" w:firstColumn="1" w:lastColumn="0" w:noHBand="0" w:noVBand="1"/>
      </w:tblPr>
      <w:tblGrid>
        <w:gridCol w:w="1209"/>
        <w:gridCol w:w="1146"/>
        <w:gridCol w:w="916"/>
        <w:gridCol w:w="1327"/>
        <w:gridCol w:w="1058"/>
        <w:gridCol w:w="952"/>
        <w:gridCol w:w="1332"/>
        <w:gridCol w:w="1132"/>
        <w:gridCol w:w="1439"/>
      </w:tblGrid>
      <w:tr>
        <w:trPr>
          <w:trHeight w:val="313"/>
        </w:trPr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209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Год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действия пенсионного договора</w:t>
            </w:r>
            <w:r/>
          </w:p>
        </w:tc>
        <w:tc>
          <w:tcPr>
            <w:gridSpan w:val="3"/>
            <w:shd w:val="clear" w:color="auto" w:fill="auto"/>
            <w:tcBorders>
              <w:top w:val="single" w:color="auto" w:sz="8" w:space="0"/>
              <w:left w:val="none" w:color="000000" w:sz="4" w:space="0"/>
              <w:bottom w:val="single" w:color="auto" w:sz="4" w:space="0"/>
              <w:right w:val="single" w:color="000000" w:sz="8" w:space="0"/>
            </w:tcBorders>
            <w:tcW w:w="338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Выкупная сумма</w:t>
            </w:r>
            <w:r/>
          </w:p>
        </w:tc>
        <w:tc>
          <w:tcPr>
            <w:gridSpan w:val="4"/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000000" w:sz="4" w:space="0"/>
              <w:right w:val="single" w:color="000000" w:sz="8" w:space="0"/>
            </w:tcBorders>
            <w:tcW w:w="4474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Суммы, подлежащие налогообложению, при выплате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выкупной суммы в случае расторжения договора, руб.</w:t>
            </w:r>
            <w:r/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43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НДФЛ (13%), руб. </w:t>
            </w:r>
            <w:r/>
          </w:p>
        </w:tc>
      </w:tr>
      <w:tr>
        <w:trPr>
          <w:trHeight w:val="313"/>
        </w:trPr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20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8" w:space="0"/>
            </w:tcBorders>
            <w:tcW w:w="3389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Поступления, руб.</w:t>
            </w:r>
            <w:r/>
          </w:p>
        </w:tc>
        <w:tc>
          <w:tcPr>
            <w:gridSpan w:val="4"/>
            <w:tcBorders>
              <w:top w:val="single" w:color="auto" w:sz="8" w:space="0"/>
              <w:left w:val="single" w:color="auto" w:sz="8" w:space="0"/>
              <w:bottom w:val="single" w:color="000000" w:sz="4" w:space="0"/>
              <w:right w:val="single" w:color="000000" w:sz="8" w:space="0"/>
            </w:tcBorders>
            <w:tcW w:w="4474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43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941"/>
        </w:trPr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20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взносы     (600 000, 00 руб.)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6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инвести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ционный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доход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27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минимальный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гарантирован-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ный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доход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58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налоговый вычет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52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инвести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ционный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доход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32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минимальный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гарантирован-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ный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 доход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13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итого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43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76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209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2019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58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5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3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13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55000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43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13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20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2020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200 000,00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20 000,00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58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120 000,00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5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20 000,00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3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13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140 000,00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43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13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209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2021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150 000,00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58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120 000,00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5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3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13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130 000,00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43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13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20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2022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15 000,00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2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58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5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15 000,00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3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13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115 000,00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43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13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209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none"/>
                <w:lang w:eastAsia="ru-RU"/>
              </w:rPr>
              <w:t xml:space="preserve">2023</w:t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6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327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58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52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-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3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113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110 000,00  </w:t>
            </w:r>
            <w:r/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439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329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20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 </w:t>
            </w:r>
            <w:r/>
          </w:p>
        </w:tc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8" w:space="0"/>
              <w:right w:val="single" w:color="000000" w:sz="8" w:space="0"/>
            </w:tcBorders>
            <w:tcW w:w="3389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660 000,00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1058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490 000,00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none" w:color="000000" w:sz="4" w:space="0"/>
            </w:tcBorders>
            <w:tcW w:w="95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none" w:color="000000" w:sz="4" w:space="0"/>
            </w:tcBorders>
            <w:tcW w:w="133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W w:w="1132" w:type="dxa"/>
            <w:vAlign w:val="bottom"/>
            <w:textDirection w:val="lrTb"/>
            <w:noWrap/>
          </w:tcPr>
          <w:p>
            <w:pPr>
              <w:jc w:val="right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550 000,00 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1439" w:type="dxa"/>
            <w:vAlign w:val="bottom"/>
            <w:textDirection w:val="lrTb"/>
            <w:noWrap/>
          </w:tcPr>
          <w:p>
            <w:pPr>
              <w:pStyle w:val="606"/>
              <w:numPr>
                <w:ilvl w:val="0"/>
                <w:numId w:val="1"/>
              </w:numPr>
              <w:jc w:val="right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 xml:space="preserve">500,00  </w:t>
            </w:r>
            <w:bookmarkEnd w:id="2"/>
            <w:r/>
          </w:p>
        </w:tc>
      </w:tr>
    </w:tbl>
    <w:p>
      <w:pPr>
        <w:pStyle w:val="605"/>
        <w:ind w:left="111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(660 0000,00 - 600 000,00 + 490 000,00) х 13% = 71 500 руб.</w:t>
      </w:r>
      <w:r/>
    </w:p>
    <w:p>
      <w:pPr>
        <w:pStyle w:val="605"/>
        <w:ind w:left="111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Times New Roman">
    <w:panose1 w:val="02020603050405020304"/>
  </w:font>
  <w:font w:name="Roboto">
    <w:panose1 w:val="02000000000000000000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7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0"/>
    <w:next w:val="60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0"/>
    <w:next w:val="60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1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0"/>
    <w:next w:val="60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0"/>
    <w:next w:val="60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0"/>
    <w:next w:val="60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0"/>
    <w:next w:val="60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0"/>
    <w:next w:val="60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0"/>
    <w:next w:val="60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0"/>
    <w:next w:val="60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0"/>
    <w:next w:val="60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1"/>
    <w:link w:val="33"/>
    <w:uiPriority w:val="10"/>
    <w:rPr>
      <w:sz w:val="48"/>
      <w:szCs w:val="48"/>
    </w:rPr>
  </w:style>
  <w:style w:type="paragraph" w:styleId="35">
    <w:name w:val="Subtitle"/>
    <w:basedOn w:val="600"/>
    <w:next w:val="60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1"/>
    <w:link w:val="35"/>
    <w:uiPriority w:val="11"/>
    <w:rPr>
      <w:sz w:val="24"/>
      <w:szCs w:val="24"/>
    </w:rPr>
  </w:style>
  <w:style w:type="paragraph" w:styleId="37">
    <w:name w:val="Quote"/>
    <w:basedOn w:val="600"/>
    <w:next w:val="60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0"/>
    <w:next w:val="60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1"/>
    <w:link w:val="41"/>
    <w:uiPriority w:val="99"/>
  </w:style>
  <w:style w:type="paragraph" w:styleId="43">
    <w:name w:val="Footer"/>
    <w:basedOn w:val="60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1"/>
    <w:link w:val="43"/>
    <w:uiPriority w:val="99"/>
  </w:style>
  <w:style w:type="paragraph" w:styleId="45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0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1"/>
    <w:uiPriority w:val="99"/>
    <w:unhideWhenUsed/>
    <w:rPr>
      <w:vertAlign w:val="superscript"/>
    </w:rPr>
  </w:style>
  <w:style w:type="paragraph" w:styleId="177">
    <w:name w:val="endnote text"/>
    <w:basedOn w:val="60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1"/>
    <w:uiPriority w:val="99"/>
    <w:semiHidden/>
    <w:unhideWhenUsed/>
    <w:rPr>
      <w:vertAlign w:val="superscript"/>
    </w:rPr>
  </w:style>
  <w:style w:type="paragraph" w:styleId="180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character" w:styleId="604">
    <w:name w:val="Hyperlink"/>
    <w:basedOn w:val="601"/>
    <w:uiPriority w:val="99"/>
    <w:unhideWhenUsed/>
    <w:rPr>
      <w:color w:val="0563c1"/>
      <w:u w:val="single"/>
    </w:rPr>
  </w:style>
  <w:style w:type="paragraph" w:styleId="605" w:customStyle="1">
    <w:name w:val="ConsPlusNormal"/>
    <w:basedOn w:val="600"/>
    <w:pPr>
      <w:spacing w:after="0" w:line="240" w:lineRule="auto"/>
    </w:pPr>
    <w:rPr>
      <w:rFonts w:ascii="Calibri" w:hAnsi="Calibri" w:cs="Calibri"/>
      <w:lang w:eastAsia="ru-RU"/>
    </w:rPr>
  </w:style>
  <w:style w:type="paragraph" w:styleId="606">
    <w:name w:val="List Paragraph"/>
    <w:basedOn w:val="60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npf-sng.ru/our-clients/2ndfl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DocSecurity>4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2023-06-16T06:34:00Z</dcterms:created>
  <dcterms:modified xsi:type="dcterms:W3CDTF">2023-09-25T09:24:08Z</dcterms:modified>
</cp:coreProperties>
</file>