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PropertyPath Glossary</w:t>
      </w:r>
    </w:p>
    <w:p>
      <w:pPr>
        <w:spacing w:after="120"/>
        <w:rPr>
          <w:color w:val="94A3B8"/>
          <w:sz w:val="20"/>
          <w:szCs w:val="20"/>
        </w:rPr>
      </w:pPr>
      <w:r>
        <w:rPr>
          <w:color w:val="94A3B8"/>
          <w:sz w:val="20"/>
          <w:szCs w:val="20"/>
        </w:rPr>
        <w:t xml:space="preserve">Version 3.4.0 | Vacation Home Group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1031 Exchange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Tax-deferred property swap under IRS Section 1031.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Adjusted Basis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Purchase price minus accumulated depreciation.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Alternative Return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Expected annual return if you sell and invest elsewhere.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Annual Appreciation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Expected yearly property value growth (adjustable in 0.5% steps).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Cap Rate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NOI divided by property value. Calculated automatically in the Overview tab.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Capital Expenses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Major replacement costs (roof, HVAC, water heater) projected from component ages and shown in the Upcoming Capital Expenses card.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Capital Gains Tax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Tax on profit from selling. Long-term rates: 0%, 15%, or 20%.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Cash Flow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Revenue minus all expenses. Positive = profit, negative = loss.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Cost Segregation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IRS method to accelerate depreciation on building components.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Depreciation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Tax deduction over 27.5 years on 85% of purchase price.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Depreciation Recapture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IRS recaptures claimed depreciation at 25% when you sell.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Equity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Property value minus mortgage balance.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Goal Discovery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Five pre-analysis questions about situation, priority, risk, timeline, and experience that personalize your AI analysis.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Hold Total Wealth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Equity plus cumulative net cash flow at end of hold period.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Maintenance Schedule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Roof replacement at 25 years (4% of value), HVAC at 15 years (2%), water heater at 12 years (0.5%). Overdue components trigger in Year 1.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Net Operating Income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Gross rent minus expenses and vacancy, before debt service.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Selling Costs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Agent commissions plus closing costs. Default 7.5%, adjustable for private sales (1-3%).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Sensitivity Sliders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Vacancy, appreciation (0.5% steps), alt return (0.5% steps), hold period.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Total Wealth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Primary comparison: Hold (equity + cash) vs Sell (invested proceeds).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Vacancy Rate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Percentage of time unoccupied. STR average 25-40%.</w:t>
            </w:r>
          </w:p>
        </w:tc>
      </w:tr>
      <w:tr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What-If Snapshot</w:t>
            </w:r>
          </w:p>
        </w:tc>
        <w:tc>
          <w:tcPr>
            <w:tcW w:type="dxa" w:w="4680"/>
            <w:tcBorders>
              <w:top w:val="single" w:color="D8D8D8" w:sz="1"/>
              <w:left w:val="single" w:color="D8D8D8" w:sz="1"/>
              <w:bottom w:val="single" w:color="D8D8D8" w:sz="1"/>
              <w:right w:val="single" w:color="D8D8D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Saved slider assumptions. Compare up to 3 side by side.</w:t>
            </w:r>
          </w:p>
        </w:tc>
      </w:tr>
    </w:tbl>
    <w:p>
      <w:pPr>
        <w:spacing w:after="20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67A5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9A782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2026-04-05T15:14:09.747Z</dcterms:created>
  <dcterms:modified xsi:type="dcterms:W3CDTF">2026-04-05T15:14:09.747Z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