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PropertyPath User Manual</w:t>
      </w:r>
    </w:p>
    <w:p>
      <w:pPr>
        <w:spacing w:after="120"/>
        <w:rPr>
          <w:color w:val="94A3B8"/>
          <w:sz w:val="20"/>
          <w:szCs w:val="20"/>
        </w:rPr>
      </w:pPr>
      <w:r>
        <w:rPr>
          <w:color w:val="94A3B8"/>
          <w:sz w:val="20"/>
          <w:szCs w:val="20"/>
        </w:rPr>
        <w:t xml:space="preserve">Version 3.4.0 | Vacation Home Group</w:t>
      </w:r>
    </w:p>
    <w:p>
      <w:pPr>
        <w:spacing w:after="200"/>
      </w:pPr>
    </w:p>
    <w:p>
      <w:pPr>
        <w:pStyle w:val="Heading2"/>
      </w:pPr>
      <w:r>
        <w:t xml:space="preserve">Getting Started</w:t>
      </w:r>
    </w:p>
    <w:p>
      <w:pPr>
        <w:spacing w:after="120"/>
      </w:pPr>
      <w:r>
        <w:rPr>
          <w:sz w:val="22"/>
          <w:szCs w:val="22"/>
        </w:rPr>
        <w:t xml:space="preserve">PropertyPath is a web-based real estate investment advisor for property owners. It starts with a personal goal discovery, then models three scenarios (Hold, Sell and Invest, 1031 Exchange) and recommends the best path. All calculations run in your browser.</w:t>
      </w:r>
    </w:p>
    <w:p>
      <w:pPr>
        <w:spacing w:after="200"/>
      </w:pPr>
    </w:p>
    <w:p>
      <w:pPr>
        <w:pStyle w:val="Heading2"/>
      </w:pPr>
      <w:r>
        <w:t xml:space="preserve">Navigation</w:t>
      </w:r>
    </w:p>
    <w:p>
      <w:pPr>
        <w:pStyle w:val="ListParagraph"/>
        <w:numPr>
          <w:ilvl w:val="0"/>
          <w:numId w:val="2"/>
        </w:numPr>
        <w:spacing w:after="80"/>
      </w:pPr>
      <w:r>
        <w:rPr>
          <w:sz w:val="22"/>
          <w:szCs w:val="22"/>
        </w:rPr>
        <w:t xml:space="preserve">Calculator: opens the goal discovery (or questionnaire if already completed)</w:t>
      </w:r>
    </w:p>
    <w:p>
      <w:pPr>
        <w:pStyle w:val="ListParagraph"/>
        <w:numPr>
          <w:ilvl w:val="0"/>
          <w:numId w:val="2"/>
        </w:numPr>
        <w:spacing w:after="80"/>
      </w:pPr>
      <w:r>
        <w:rPr>
          <w:sz w:val="22"/>
          <w:szCs w:val="22"/>
        </w:rPr>
        <w:t xml:space="preserve">Resources: scrolls to documentation downloads</w:t>
      </w:r>
    </w:p>
    <w:p>
      <w:pPr>
        <w:pStyle w:val="ListParagraph"/>
        <w:numPr>
          <w:ilvl w:val="0"/>
          <w:numId w:val="2"/>
        </w:numPr>
        <w:spacing w:after="80"/>
      </w:pPr>
      <w:r>
        <w:rPr>
          <w:sz w:val="22"/>
          <w:szCs w:val="22"/>
        </w:rPr>
        <w:t xml:space="preserve">Standard / Pro: scrolls to pricing table</w:t>
      </w:r>
    </w:p>
    <w:p>
      <w:pPr>
        <w:pStyle w:val="ListParagraph"/>
        <w:numPr>
          <w:ilvl w:val="0"/>
          <w:numId w:val="2"/>
        </w:numPr>
        <w:spacing w:after="80"/>
      </w:pPr>
      <w:r>
        <w:rPr>
          <w:sz w:val="22"/>
          <w:szCs w:val="22"/>
        </w:rPr>
        <w:t xml:space="preserve">Theme toggle: dark/light mode</w:t>
      </w:r>
    </w:p>
    <w:p>
      <w:pPr>
        <w:spacing w:after="200"/>
      </w:pPr>
    </w:p>
    <w:p>
      <w:pPr>
        <w:pStyle w:val="Heading2"/>
      </w:pPr>
      <w:r>
        <w:t xml:space="preserve">Goal Discovery</w:t>
      </w:r>
    </w:p>
    <w:p>
      <w:pPr>
        <w:spacing w:after="120"/>
      </w:pPr>
      <w:r>
        <w:rPr>
          <w:sz w:val="22"/>
          <w:szCs w:val="22"/>
        </w:rPr>
        <w:t xml:space="preserve">Before entering property details, you answer 5 quick questions about your situation, priority, risk tolerance, timeline, and experience level. Each question has preset options plus a "Something else..." free-text input. Your answers personalize the AI analysis and are included in Pro signup notifications for your agent.</w:t>
      </w:r>
    </w:p>
    <w:p>
      <w:pPr>
        <w:spacing w:after="200"/>
      </w:pPr>
    </w:p>
    <w:p>
      <w:pPr>
        <w:pStyle w:val="Heading2"/>
      </w:pPr>
      <w:r>
        <w:t xml:space="preserve">App Header</w:t>
      </w:r>
    </w:p>
    <w:p>
      <w:pPr>
        <w:spacing w:after="120"/>
      </w:pPr>
      <w:r>
        <w:rPr>
          <w:sz w:val="22"/>
          <w:szCs w:val="22"/>
        </w:rPr>
        <w:t xml:space="preserve">Inside the calculator, a branded header shows the VHG logo, PropertyPath name, "by Vacation Home Group," and "YOUR REAL ESTATE INVESTMENT ADVISOR" with the version.</w:t>
      </w:r>
    </w:p>
    <w:p>
      <w:pPr>
        <w:spacing w:after="200"/>
      </w:pPr>
    </w:p>
    <w:p>
      <w:pPr>
        <w:pStyle w:val="Heading2"/>
      </w:pPr>
      <w:r>
        <w:t xml:space="preserve">Step 1: Property and Portfolio</w:t>
      </w:r>
    </w:p>
    <w:p>
      <w:pPr>
        <w:pStyle w:val="ListParagraph"/>
        <w:numPr>
          <w:ilvl w:val="0"/>
          <w:numId w:val="2"/>
        </w:numPr>
        <w:spacing w:after="80"/>
      </w:pPr>
      <w:r>
        <w:rPr>
          <w:sz w:val="22"/>
          <w:szCs w:val="22"/>
        </w:rPr>
        <w:t xml:space="preserve">Property Type, Location, Purchase Price, Current Value</w:t>
      </w:r>
    </w:p>
    <w:p>
      <w:pPr>
        <w:pStyle w:val="ListParagraph"/>
        <w:numPr>
          <w:ilvl w:val="0"/>
          <w:numId w:val="2"/>
        </w:numPr>
        <w:spacing w:after="80"/>
      </w:pPr>
      <w:r>
        <w:rPr>
          <w:sz w:val="22"/>
          <w:szCs w:val="22"/>
        </w:rPr>
        <w:t xml:space="preserve">Years Owned: auto-calculates mortgage years remaining (30 minus years owned)</w:t>
      </w:r>
    </w:p>
    <w:p>
      <w:pPr>
        <w:pStyle w:val="ListParagraph"/>
        <w:numPr>
          <w:ilvl w:val="0"/>
          <w:numId w:val="2"/>
        </w:numPr>
        <w:spacing w:after="80"/>
      </w:pPr>
      <w:r>
        <w:rPr>
          <w:sz w:val="22"/>
          <w:szCs w:val="22"/>
        </w:rPr>
        <w:t xml:space="preserve">Annual Gross Rent, Management Style</w:t>
      </w:r>
    </w:p>
    <w:p>
      <w:pPr>
        <w:spacing w:after="200"/>
      </w:pPr>
    </w:p>
    <w:p>
      <w:pPr>
        <w:pStyle w:val="Heading2"/>
      </w:pPr>
      <w:r>
        <w:t xml:space="preserve">Step 2: Financial Snapshot</w:t>
      </w:r>
    </w:p>
    <w:p>
      <w:pPr>
        <w:pStyle w:val="ListParagraph"/>
        <w:numPr>
          <w:ilvl w:val="0"/>
          <w:numId w:val="2"/>
        </w:numPr>
        <w:spacing w:after="80"/>
      </w:pPr>
      <w:r>
        <w:rPr>
          <w:sz w:val="22"/>
          <w:szCs w:val="22"/>
        </w:rPr>
        <w:t xml:space="preserve">Annual Expenses, Vacancy Rate</w:t>
      </w:r>
    </w:p>
    <w:p>
      <w:pPr>
        <w:pStyle w:val="ListParagraph"/>
        <w:numPr>
          <w:ilvl w:val="0"/>
          <w:numId w:val="2"/>
        </w:numPr>
        <w:spacing w:after="80"/>
      </w:pPr>
      <w:r>
        <w:rPr>
          <w:sz w:val="22"/>
          <w:szCs w:val="22"/>
        </w:rPr>
        <w:t xml:space="preserve">Mortgage Balance, Interest Rate, Years Remaining (auto-calculated, editable)</w:t>
      </w:r>
    </w:p>
    <w:p>
      <w:pPr>
        <w:pStyle w:val="ListParagraph"/>
        <w:numPr>
          <w:ilvl w:val="0"/>
          <w:numId w:val="2"/>
        </w:numPr>
        <w:spacing w:after="80"/>
      </w:pPr>
      <w:r>
        <w:rPr>
          <w:sz w:val="22"/>
          <w:szCs w:val="22"/>
        </w:rPr>
        <w:t xml:space="preserve">Property Condition: Roof, HVAC, water heater ages — triggers capital expense projections</w:t>
      </w:r>
    </w:p>
    <w:p>
      <w:pPr>
        <w:pStyle w:val="ListParagraph"/>
        <w:numPr>
          <w:ilvl w:val="0"/>
          <w:numId w:val="2"/>
        </w:numPr>
        <w:spacing w:after="80"/>
      </w:pPr>
      <w:r>
        <w:rPr>
          <w:sz w:val="22"/>
          <w:szCs w:val="22"/>
        </w:rPr>
        <w:t xml:space="preserve">Federal Tax Bracket</w:t>
      </w:r>
    </w:p>
    <w:p>
      <w:pPr>
        <w:spacing w:after="120"/>
      </w:pPr>
      <w:r>
        <w:rPr>
          <w:sz w:val="22"/>
          <w:szCs w:val="22"/>
        </w:rPr>
        <w:t xml:space="preserve">Dollar fields auto-format with commas.</w:t>
      </w:r>
    </w:p>
    <w:p>
      <w:pPr>
        <w:spacing w:after="200"/>
      </w:pPr>
    </w:p>
    <w:p>
      <w:pPr>
        <w:pStyle w:val="Heading2"/>
      </w:pPr>
      <w:r>
        <w:t xml:space="preserve">Step 3: Market and Exit Strategy</w:t>
      </w:r>
    </w:p>
    <w:p>
      <w:pPr>
        <w:pStyle w:val="ListParagraph"/>
        <w:numPr>
          <w:ilvl w:val="0"/>
          <w:numId w:val="2"/>
        </w:numPr>
        <w:spacing w:after="80"/>
      </w:pPr>
      <w:r>
        <w:rPr>
          <w:sz w:val="22"/>
          <w:szCs w:val="22"/>
        </w:rPr>
        <w:t xml:space="preserve">Appreciation (0.5% increments), Cap Rate (optional)</w:t>
      </w:r>
    </w:p>
    <w:p>
      <w:pPr>
        <w:pStyle w:val="ListParagraph"/>
        <w:numPr>
          <w:ilvl w:val="0"/>
          <w:numId w:val="2"/>
        </w:numPr>
        <w:spacing w:after="80"/>
      </w:pPr>
      <w:r>
        <w:rPr>
          <w:sz w:val="22"/>
          <w:szCs w:val="22"/>
        </w:rPr>
        <w:t xml:space="preserve">Alternative Investment and Expected Return (0.5% increments)</w:t>
      </w:r>
    </w:p>
    <w:p>
      <w:pPr>
        <w:pStyle w:val="ListParagraph"/>
        <w:numPr>
          <w:ilvl w:val="0"/>
          <w:numId w:val="2"/>
        </w:numPr>
        <w:spacing w:after="80"/>
      </w:pPr>
      <w:r>
        <w:rPr>
          <w:sz w:val="22"/>
          <w:szCs w:val="22"/>
        </w:rPr>
        <w:t xml:space="preserve">Selling Costs: user-controlled percentage (default 7.5%)</w:t>
      </w:r>
    </w:p>
    <w:p>
      <w:pPr>
        <w:pStyle w:val="ListParagraph"/>
        <w:numPr>
          <w:ilvl w:val="0"/>
          <w:numId w:val="2"/>
        </w:numPr>
        <w:spacing w:after="80"/>
      </w:pPr>
      <w:r>
        <w:rPr>
          <w:sz w:val="22"/>
          <w:szCs w:val="22"/>
        </w:rPr>
        <w:t xml:space="preserve">Exit Strategy with optional 1031 replacement property details</w:t>
      </w:r>
    </w:p>
    <w:p>
      <w:pPr>
        <w:spacing w:after="200"/>
      </w:pPr>
    </w:p>
    <w:p>
      <w:pPr>
        <w:pStyle w:val="Heading2"/>
      </w:pPr>
      <w:r>
        <w:t xml:space="preserve">Dashboard Overview</w:t>
      </w:r>
    </w:p>
    <w:p>
      <w:pPr>
        <w:spacing w:after="120"/>
      </w:pPr>
      <w:r>
        <w:rPr>
          <w:sz w:val="22"/>
          <w:szCs w:val="22"/>
        </w:rPr>
        <w:t xml:space="preserve">Primary metrics: Hold Total, Sell and Invest, 1031 Exchange, Recommendation.</w:t>
      </w:r>
    </w:p>
    <w:p>
      <w:pPr>
        <w:spacing w:after="120"/>
      </w:pPr>
      <w:r>
        <w:rPr>
          <w:sz w:val="22"/>
          <w:szCs w:val="22"/>
        </w:rPr>
        <w:t xml:space="preserve">Secondary metrics: Calculated Cap Rate, Year 1 Cash Flow, Selling Costs.</w:t>
      </w:r>
    </w:p>
    <w:p>
      <w:pPr>
        <w:spacing w:after="120"/>
      </w:pPr>
      <w:r>
        <w:rPr>
          <w:sz w:val="22"/>
          <w:szCs w:val="22"/>
        </w:rPr>
        <w:t xml:space="preserve">Upcoming Capital Expenses: cards showing projected roof, HVAC, and water heater replacements with year, cost, and age. Components past their lifespan show as "Overdue now." All costs are factored into Hold scenario cash flow.</w:t>
      </w:r>
    </w:p>
    <w:p>
      <w:pPr>
        <w:pStyle w:val="ListParagraph"/>
        <w:numPr>
          <w:ilvl w:val="0"/>
          <w:numId w:val="2"/>
        </w:numPr>
        <w:spacing w:after="80"/>
      </w:pPr>
      <w:r>
        <w:rPr>
          <w:sz w:val="22"/>
          <w:szCs w:val="22"/>
        </w:rPr>
        <w:t xml:space="preserve">Cumulative Wealth Chart</w:t>
      </w:r>
    </w:p>
    <w:p>
      <w:pPr>
        <w:pStyle w:val="ListParagraph"/>
        <w:numPr>
          <w:ilvl w:val="0"/>
          <w:numId w:val="2"/>
        </w:numPr>
        <w:spacing w:after="80"/>
      </w:pPr>
      <w:r>
        <w:rPr>
          <w:sz w:val="22"/>
          <w:szCs w:val="22"/>
        </w:rPr>
        <w:t xml:space="preserve">Scenario Radar</w:t>
      </w:r>
    </w:p>
    <w:p>
      <w:pPr>
        <w:spacing w:after="200"/>
      </w:pPr>
    </w:p>
    <w:p>
      <w:pPr>
        <w:pStyle w:val="Heading2"/>
      </w:pPr>
      <w:r>
        <w:t xml:space="preserve">Dashboard Analysis</w:t>
      </w:r>
    </w:p>
    <w:p>
      <w:pPr>
        <w:pStyle w:val="ListParagraph"/>
        <w:numPr>
          <w:ilvl w:val="0"/>
          <w:numId w:val="2"/>
        </w:numPr>
        <w:spacing w:after="80"/>
      </w:pPr>
      <w:r>
        <w:rPr>
          <w:sz w:val="22"/>
          <w:szCs w:val="22"/>
        </w:rPr>
        <w:t xml:space="preserve">Cash Flow composed chart, Equity Growth, Expense Pie, Sale Proceeds Waterfall, Year-by-Year Table</w:t>
      </w:r>
    </w:p>
    <w:p>
      <w:pPr>
        <w:spacing w:after="200"/>
      </w:pPr>
    </w:p>
    <w:p>
      <w:pPr>
        <w:pStyle w:val="Heading2"/>
      </w:pPr>
      <w:r>
        <w:t xml:space="preserve">Pro Features</w:t>
      </w:r>
    </w:p>
    <w:p>
      <w:pPr>
        <w:spacing w:after="120"/>
      </w:pPr>
      <w:r>
        <w:rPr>
          <w:sz w:val="22"/>
          <w:szCs w:val="22"/>
        </w:rPr>
        <w:t xml:space="preserve">Unlock via email verification (free for VHG clients).</w:t>
      </w:r>
    </w:p>
    <w:p>
      <w:pPr>
        <w:pStyle w:val="Heading3"/>
      </w:pPr>
      <w:r>
        <w:t xml:space="preserve">Tax Benefits</w:t>
      </w:r>
    </w:p>
    <w:p>
      <w:pPr>
        <w:spacing w:after="120"/>
      </w:pPr>
      <w:r>
        <w:rPr>
          <w:sz w:val="22"/>
          <w:szCs w:val="22"/>
        </w:rPr>
        <w:t xml:space="preserve">Straight-line vs cost segregation. Chart and labels match hold period slider.</w:t>
      </w:r>
    </w:p>
    <w:p>
      <w:pPr>
        <w:pStyle w:val="Heading3"/>
      </w:pPr>
      <w:r>
        <w:t xml:space="preserve">Mortgage Comparison</w:t>
      </w:r>
    </w:p>
    <w:p>
      <w:pPr>
        <w:spacing w:after="120"/>
      </w:pPr>
      <w:r>
        <w:rPr>
          <w:sz w:val="22"/>
          <w:szCs w:val="22"/>
        </w:rPr>
        <w:t xml:space="preserve">Two scenarios, three charts. Interest rate carries from questionnaire.</w:t>
      </w:r>
    </w:p>
    <w:p>
      <w:pPr>
        <w:pStyle w:val="Heading3"/>
      </w:pPr>
      <w:r>
        <w:t xml:space="preserve">What-If Snapshots</w:t>
      </w:r>
    </w:p>
    <w:p>
      <w:pPr>
        <w:spacing w:after="120"/>
      </w:pPr>
      <w:r>
        <w:rPr>
          <w:sz w:val="22"/>
          <w:szCs w:val="22"/>
        </w:rPr>
        <w:t xml:space="preserve">Save, delete, and compare up to 3 scenarios side by side: grouped bar chart, radar overlay, 10-metric comparison table.</w:t>
      </w:r>
    </w:p>
    <w:p>
      <w:pPr>
        <w:pStyle w:val="Heading3"/>
      </w:pPr>
      <w:r>
        <w:t xml:space="preserve">AI Investment Summary</w:t>
      </w:r>
    </w:p>
    <w:p>
      <w:pPr>
        <w:spacing w:after="120"/>
      </w:pPr>
      <w:r>
        <w:rPr>
          <w:sz w:val="22"/>
          <w:szCs w:val="22"/>
        </w:rPr>
        <w:t xml:space="preserve">Six presets with tone/length controls. Discovery profile and capital expense data are included in the prompt. Markdown formatting renders as styled headers, bold, bullets, and numbered lists. Claude and Gemini supported via server-side proxy.</w:t>
      </w:r>
    </w:p>
    <w:p>
      <w:pPr>
        <w:spacing w:after="200"/>
      </w:pPr>
    </w:p>
    <w:p>
      <w:pPr>
        <w:pStyle w:val="Heading2"/>
      </w:pPr>
      <w:r>
        <w:t xml:space="preserve">How It Works Tab</w:t>
      </w:r>
    </w:p>
    <w:p>
      <w:pPr>
        <w:spacing w:after="120"/>
      </w:pPr>
      <w:r>
        <w:rPr>
          <w:sz w:val="22"/>
          <w:szCs w:val="22"/>
        </w:rPr>
        <w:t xml:space="preserve">6-step walkthrough, key metrics glossary, and documentation downloads.</w:t>
      </w:r>
    </w:p>
    <w:p>
      <w:pPr>
        <w:spacing w:after="200"/>
      </w:pPr>
    </w:p>
    <w:p>
      <w:pPr>
        <w:pStyle w:val="Heading2"/>
      </w:pPr>
      <w:r>
        <w:t xml:space="preserve">Disclaimer</w:t>
      </w:r>
    </w:p>
    <w:p>
      <w:pPr>
        <w:spacing w:after="120"/>
        <w:rPr>
          <w:color w:val="94A3B8"/>
          <w:sz w:val="20"/>
          <w:szCs w:val="20"/>
        </w:rPr>
      </w:pPr>
      <w:r>
        <w:rPr>
          <w:color w:val="94A3B8"/>
          <w:sz w:val="20"/>
          <w:szCs w:val="20"/>
        </w:rPr>
        <w:t xml:space="preserve">This tool does not constitute financial or investment advice. Consult a qualified professional.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7A5E"/>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1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9A78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2026-04-05T15:14:09.641Z</dcterms:created>
  <dcterms:modified xsi:type="dcterms:W3CDTF">2026-04-05T15:14:09.642Z</dcterms:modified>
</cp:coreProperties>
</file>

<file path=docProps/custom.xml><?xml version="1.0" encoding="utf-8"?>
<Properties xmlns="http://schemas.openxmlformats.org/officeDocument/2006/custom-properties" xmlns:vt="http://schemas.openxmlformats.org/officeDocument/2006/docPropsVTypes"/>
</file>