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PropertyPath Glossary</w:t>
      </w:r>
    </w:p>
    <w:p>
      <w:pPr>
        <w:spacing w:after="120"/>
        <w:rPr>
          <w:color w:val="94A3B8"/>
          <w:sz w:val="20"/>
          <w:szCs w:val="20"/>
        </w:rPr>
      </w:pPr>
      <w:r>
        <w:rPr>
          <w:color w:val="94A3B8"/>
          <w:sz w:val="20"/>
          <w:szCs w:val="20"/>
        </w:rPr>
        <w:t xml:space="preserve">Version 3.6.5 | Vacation Home Group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1031 Exchange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Tax-deferred property swap under IRS Section 1031.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Adjusted Basis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Purchase price minus accumulated depreciation.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Alternative Return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Expected annual return if you sell and invest elsewhere.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Annual Appreciation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Expected yearly property value growth (adjustable in 0.5% steps).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Buyer Mode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Activated when "evaluating a new purchase" is selected. Changes labels to Buy &amp; Hold vs Don't Buy Invest, adjusts math for closing costs, hides exit strategy and 1031.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Cap Rate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NOI divided by property value. Calculated automatically in the Overview tab.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Capital Expenses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Major replacement costs (roof, HVAC, water heater) projected from component ages and shown in the Upcoming Capital Expenses card.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Capital Gains Tax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Tax on profit from selling. Long-term rates: 0%, 15%, or 20%.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Cash Flow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Revenue minus all expenses. Positive = profit, negative = loss.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Cost Segregation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IRS method to accelerate depreciation on building components.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Depreciation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Tax deduction over 27.5 years on 85% of purchase price.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Depreciation Recapture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IRS recaptures claimed depreciation at 25% when you sell.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Email My Results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 feature on Overview tab. Sends branded analysis email to the user.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Equity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Property value minus mortgage balance.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Goal Discovery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Five pre-analysis questions about situation, priority, risk, timeline, and experience that personalize your AI analysis.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Hold Total Wealth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Equity plus cumulative net cash flow at end of hold period.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Maintenance Schedule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Roof replacement at 25 years (4% of value), HVAC at 15 years (2%), water heater at 12 years (0.5%). Overdue components trigger in Year 1.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Mobile Bottom Nav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Fixed navigation bar on screens under 640px with icons for main tabs.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Net Operating Income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Gross rent minus expenses and vacancy, before debt service.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Onboarding Tour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4-step guided walkthrough for first-time users. Dismisses permanently.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PDF Report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Print-ready report with property details, metrics, projections, AI summary, and disclaimers. Opens in new tab.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 Persistence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 status saved to localStorage. Survives page refreshes and browser restarts.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Purchase Costs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Buyer mode equivalent of Selling Costs. Default 2-4% for closing costs, title, inspections.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Saved Properties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Save up to 3 analyses to localStorage for side-by-side comparison with charts and tables.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Selling Costs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Agent commissions plus closing costs. Default 7.5%, adjustable for private sales (1-3%).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Sensitivity Sliders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Vacancy, appreciation (0.5% steps), alt return (0.5% steps), hold period.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Share Link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Compact URL encoding of property inputs for sharing. Uses short keys and skips defaults.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Total Wealth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Primary comparison: Hold (equity + cash) vs Sell (invested proceeds).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Vacancy Rate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Percentage of time unoccupied. STR average 40-55% — normal for short-term rentals.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What-If Snapshot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Saved slider assumptions. Compare up to 3 side by side.</w:t>
            </w:r>
          </w:p>
        </w:tc>
      </w:tr>
    </w:tbl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7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A7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2026-04-06T14:28:29.021Z</dcterms:created>
  <dcterms:modified xsi:type="dcterms:W3CDTF">2026-04-06T14:28:29.021Z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