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STRInvestCalc Glossary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3.2.0 | Vacation Home Group</w:t>
      </w:r>
    </w:p>
    <w:p>
      <w:pPr>
        <w:spacing w:after="120"/>
      </w:pPr>
      <w:r>
        <w:rPr>
          <w:sz w:val="22"/>
          <w:szCs w:val="22"/>
        </w:rPr>
        <w:t xml:space="preserve">Alphabetical definitions of every term in STRInvestCalc.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1031 Exchange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Tax-deferred swap of one investment property for another under IRS Section 1031. Defers capital gains and depreciation recapture.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Adjusted Basis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price minus accumulated depreciation. Used to calculate capital gains on sale.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Alternative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return expected if you sell and invest proceeds elsewhere.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Appreciation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yearly property value growth. US average is approximately 3-4%.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 Rate (Calculated)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Operating Income divided by current property value. Calculated automatically in the dashboard Overview tab from your inputs.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Gains Tax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on profit from selling property. Long-term rates: 0%, 15%, or 20%.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Revenue minus all expenses. Can be positive (profit) or negative (loss).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Cash-on-Cash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pre-tax cash flow divided by total cash invested.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Cost Segregation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method to accelerate depreciation on building components (5, 7, or 15 year schedules).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Cumulative 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net cash flow accumulated over the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deduction for building wear. 27.5-year schedule on 85% of purchase price.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 Recapture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recaptures claimed depreciation at 25% tax rate when you sell.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value minus outstanding mortgage balance.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Period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Years to keep the property. Adjustable via slider (1-30 years).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equity plus cumulative net cash flow at end of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 Reserve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Projected from component ages: roofs (25-30yr), HVAC (15-20yr), water heaters (10-15yr).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Operating Income (NOI)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Gross rent minus operating expenses and vacancy, before debt service.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Proceeds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Sale price minus mortgage, selling costs, capital gains, and depreciation recapture.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 and Invest Value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After-tax sale proceeds compounded at alternative return over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Selling Costs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costs to sell as percentage of sale price. Default 7.5%. Agent sales 7-8%, private 1-3%. User-adjustable in Step 3.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Sensitivity Sliders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Vacancy, appreciation, alt return, hold period. Charts recalculate instantly.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Straight-Line 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Depreciable basis divided by 27.5 years, taken equally each year.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comparison metric. Hold: equity + cash flow. Sell: invested proceeds.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Percentage of time property is unoccupied. STR average 25-40%.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Snapshot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Saved slider assumptions. Compare up to 3 side by side with charts and table.</w:t>
            </w:r>
          </w:p>
        </w:tc>
      </w:tr>
    </w:tbl>
    <w:p>
      <w:pPr>
        <w:spacing w:after="200"/>
      </w:pP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For step-by-step instructions, see the User Manual.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2026-04-04T22:29:15.904Z</dcterms:created>
  <dcterms:modified xsi:type="dcterms:W3CDTF">2026-04-04T22:29:15.904Z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