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STRInvestCalc User Manual</w:t>
      </w:r>
    </w:p>
    <w:p>
      <w:pPr>
        <w:spacing w:after="120"/>
        <w:rPr>
          <w:color w:val="94A3B8"/>
          <w:sz w:val="20"/>
          <w:szCs w:val="20"/>
        </w:rPr>
      </w:pPr>
      <w:r>
        <w:rPr>
          <w:color w:val="94A3B8"/>
          <w:sz w:val="20"/>
          <w:szCs w:val="20"/>
        </w:rPr>
        <w:t xml:space="preserve">Version 3.2.0 | Vacation Home Group</w:t>
      </w:r>
    </w:p>
    <w:p>
      <w:pPr>
        <w:spacing w:after="200"/>
      </w:pPr>
    </w:p>
    <w:p>
      <w:pPr>
        <w:pStyle w:val="Heading2"/>
      </w:pPr>
      <w:r>
        <w:t xml:space="preserve">Getting Started</w:t>
      </w:r>
    </w:p>
    <w:p>
      <w:pPr>
        <w:spacing w:after="120"/>
      </w:pPr>
      <w:r>
        <w:rPr>
          <w:sz w:val="22"/>
          <w:szCs w:val="22"/>
        </w:rPr>
        <w:t xml:space="preserve">STRInvestCalc is a web-based investment decision tool for short-term rental property owners. It models three scenarios (Hold, Sell and Invest, 1031 Exchange) and recommends the best path. All calculations run in your browser. No account is required for Standard features.</w:t>
      </w:r>
    </w:p>
    <w:p>
      <w:pPr>
        <w:spacing w:after="200"/>
      </w:pPr>
    </w:p>
    <w:p>
      <w:pPr>
        <w:pStyle w:val="Heading2"/>
      </w:pPr>
      <w:r>
        <w:t xml:space="preserve">Navigation</w:t>
      </w:r>
    </w:p>
    <w:p>
      <w:pPr>
        <w:pStyle w:val="ListParagraph"/>
        <w:numPr>
          <w:ilvl w:val="0"/>
          <w:numId w:val="2"/>
        </w:numPr>
        <w:spacing w:after="80"/>
      </w:pPr>
      <w:r>
        <w:rPr>
          <w:sz w:val="22"/>
          <w:szCs w:val="22"/>
        </w:rPr>
        <w:t xml:space="preserve">Calculator: opens the questionnaire</w:t>
      </w:r>
    </w:p>
    <w:p>
      <w:pPr>
        <w:pStyle w:val="ListParagraph"/>
        <w:numPr>
          <w:ilvl w:val="0"/>
          <w:numId w:val="2"/>
        </w:numPr>
        <w:spacing w:after="80"/>
      </w:pPr>
      <w:r>
        <w:rPr>
          <w:sz w:val="22"/>
          <w:szCs w:val="22"/>
        </w:rPr>
        <w:t xml:space="preserve">Resources: scrolls to documentation downloads</w:t>
      </w:r>
    </w:p>
    <w:p>
      <w:pPr>
        <w:pStyle w:val="ListParagraph"/>
        <w:numPr>
          <w:ilvl w:val="0"/>
          <w:numId w:val="2"/>
        </w:numPr>
        <w:spacing w:after="80"/>
      </w:pPr>
      <w:r>
        <w:rPr>
          <w:sz w:val="22"/>
          <w:szCs w:val="22"/>
        </w:rPr>
        <w:t xml:space="preserve">Standard / Pro: scrolls to pricing table</w:t>
      </w:r>
    </w:p>
    <w:p>
      <w:pPr>
        <w:pStyle w:val="ListParagraph"/>
        <w:numPr>
          <w:ilvl w:val="0"/>
          <w:numId w:val="2"/>
        </w:numPr>
        <w:spacing w:after="80"/>
      </w:pPr>
      <w:r>
        <w:rPr>
          <w:sz w:val="22"/>
          <w:szCs w:val="22"/>
        </w:rPr>
        <w:t xml:space="preserve">Theme toggle: dark/light mode (saved in browser)</w:t>
      </w:r>
    </w:p>
    <w:p>
      <w:pPr>
        <w:spacing w:after="200"/>
      </w:pPr>
    </w:p>
    <w:p>
      <w:pPr>
        <w:pStyle w:val="Heading2"/>
      </w:pPr>
      <w:r>
        <w:t xml:space="preserve">App Header</w:t>
      </w:r>
    </w:p>
    <w:p>
      <w:pPr>
        <w:spacing w:after="120"/>
      </w:pPr>
      <w:r>
        <w:rPr>
          <w:sz w:val="22"/>
          <w:szCs w:val="22"/>
        </w:rPr>
        <w:t xml:space="preserve">Inside the calculator, a branded header bar shows the VHG logo, app name, "by Vacation Home Group," and "SHORT TERM RENTAL INVESTMENT ANALYZER" with the version number.</w:t>
      </w:r>
    </w:p>
    <w:p>
      <w:pPr>
        <w:spacing w:after="200"/>
      </w:pPr>
    </w:p>
    <w:p>
      <w:pPr>
        <w:pStyle w:val="Heading2"/>
      </w:pPr>
      <w:r>
        <w:t xml:space="preserve">Step 1: Property and Portfolio</w:t>
      </w:r>
    </w:p>
    <w:p>
      <w:pPr>
        <w:pStyle w:val="ListParagraph"/>
        <w:numPr>
          <w:ilvl w:val="0"/>
          <w:numId w:val="2"/>
        </w:numPr>
        <w:spacing w:after="80"/>
      </w:pPr>
      <w:r>
        <w:rPr>
          <w:sz w:val="22"/>
          <w:szCs w:val="22"/>
        </w:rPr>
        <w:t xml:space="preserve">Property Type, Location, Purchase Price, Current Value</w:t>
      </w:r>
    </w:p>
    <w:p>
      <w:pPr>
        <w:pStyle w:val="ListParagraph"/>
        <w:numPr>
          <w:ilvl w:val="0"/>
          <w:numId w:val="2"/>
        </w:numPr>
        <w:spacing w:after="80"/>
      </w:pPr>
      <w:r>
        <w:rPr>
          <w:sz w:val="22"/>
          <w:szCs w:val="22"/>
        </w:rPr>
        <w:t xml:space="preserve">Years Owned: affects depreciation and auto-calculates mortgage years remaining (30 minus years owned)</w:t>
      </w:r>
    </w:p>
    <w:p>
      <w:pPr>
        <w:pStyle w:val="ListParagraph"/>
        <w:numPr>
          <w:ilvl w:val="0"/>
          <w:numId w:val="2"/>
        </w:numPr>
        <w:spacing w:after="80"/>
      </w:pPr>
      <w:r>
        <w:rPr>
          <w:sz w:val="22"/>
          <w:szCs w:val="22"/>
        </w:rPr>
        <w:t xml:space="preserve">Annual Gross Rent, Management Style</w:t>
      </w:r>
    </w:p>
    <w:p>
      <w:pPr>
        <w:spacing w:after="200"/>
      </w:pPr>
    </w:p>
    <w:p>
      <w:pPr>
        <w:pStyle w:val="Heading2"/>
      </w:pPr>
      <w:r>
        <w:t xml:space="preserve">Step 2: Financial Snapshot</w:t>
      </w:r>
    </w:p>
    <w:p>
      <w:pPr>
        <w:pStyle w:val="ListParagraph"/>
        <w:numPr>
          <w:ilvl w:val="0"/>
          <w:numId w:val="2"/>
        </w:numPr>
        <w:spacing w:after="80"/>
      </w:pPr>
      <w:r>
        <w:rPr>
          <w:sz w:val="22"/>
          <w:szCs w:val="22"/>
        </w:rPr>
        <w:t xml:space="preserve">Annual Expenses, Vacancy Rate (STR average 25-40%)</w:t>
      </w:r>
    </w:p>
    <w:p>
      <w:pPr>
        <w:pStyle w:val="ListParagraph"/>
        <w:numPr>
          <w:ilvl w:val="0"/>
          <w:numId w:val="2"/>
        </w:numPr>
        <w:spacing w:after="80"/>
      </w:pPr>
      <w:r>
        <w:rPr>
          <w:sz w:val="22"/>
          <w:szCs w:val="22"/>
        </w:rPr>
        <w:t xml:space="preserve">Mortgage Balance, Interest Rate, Years Remaining (auto-calculated, editable)</w:t>
      </w:r>
    </w:p>
    <w:p>
      <w:pPr>
        <w:pStyle w:val="ListParagraph"/>
        <w:numPr>
          <w:ilvl w:val="0"/>
          <w:numId w:val="2"/>
        </w:numPr>
        <w:spacing w:after="80"/>
      </w:pPr>
      <w:r>
        <w:rPr>
          <w:sz w:val="22"/>
          <w:szCs w:val="22"/>
        </w:rPr>
        <w:t xml:space="preserve">Property Condition: Roof, HVAC, and water heater ages</w:t>
      </w:r>
    </w:p>
    <w:p>
      <w:pPr>
        <w:pStyle w:val="ListParagraph"/>
        <w:numPr>
          <w:ilvl w:val="0"/>
          <w:numId w:val="2"/>
        </w:numPr>
        <w:spacing w:after="80"/>
      </w:pPr>
      <w:r>
        <w:rPr>
          <w:sz w:val="22"/>
          <w:szCs w:val="22"/>
        </w:rPr>
        <w:t xml:space="preserve">Federal Tax Bracket</w:t>
      </w:r>
    </w:p>
    <w:p>
      <w:pPr>
        <w:spacing w:after="120"/>
      </w:pPr>
      <w:r>
        <w:rPr>
          <w:sz w:val="22"/>
          <w:szCs w:val="22"/>
        </w:rPr>
        <w:t xml:space="preserve">Dollar fields auto-format with commas ($450,000).</w:t>
      </w:r>
    </w:p>
    <w:p>
      <w:pPr>
        <w:spacing w:after="200"/>
      </w:pPr>
    </w:p>
    <w:p>
      <w:pPr>
        <w:pStyle w:val="Heading2"/>
      </w:pPr>
      <w:r>
        <w:t xml:space="preserve">Step 3: Market and Exit Strategy</w:t>
      </w:r>
    </w:p>
    <w:p>
      <w:pPr>
        <w:pStyle w:val="ListParagraph"/>
        <w:numPr>
          <w:ilvl w:val="0"/>
          <w:numId w:val="2"/>
        </w:numPr>
        <w:spacing w:after="80"/>
      </w:pPr>
      <w:r>
        <w:rPr>
          <w:sz w:val="22"/>
          <w:szCs w:val="22"/>
        </w:rPr>
        <w:t xml:space="preserve">Appreciation, Cap Rate (optional reference; dashboard calculates actual)</w:t>
      </w:r>
    </w:p>
    <w:p>
      <w:pPr>
        <w:pStyle w:val="ListParagraph"/>
        <w:numPr>
          <w:ilvl w:val="0"/>
          <w:numId w:val="2"/>
        </w:numPr>
        <w:spacing w:after="80"/>
      </w:pPr>
      <w:r>
        <w:rPr>
          <w:sz w:val="22"/>
          <w:szCs w:val="22"/>
        </w:rPr>
        <w:t xml:space="preserve">Alternative Investment type and Expected Return</w:t>
      </w:r>
    </w:p>
    <w:p>
      <w:pPr>
        <w:pStyle w:val="ListParagraph"/>
        <w:numPr>
          <w:ilvl w:val="0"/>
          <w:numId w:val="2"/>
        </w:numPr>
        <w:spacing w:after="80"/>
      </w:pPr>
      <w:r>
        <w:rPr>
          <w:sz w:val="22"/>
          <w:szCs w:val="22"/>
        </w:rPr>
        <w:t xml:space="preserve">Selling Costs: percentage of sale price (default 7.5%). Standard agent sales are 7-8%, private sales 1-3%. Directly affects the Sell scenario.</w:t>
      </w:r>
    </w:p>
    <w:p>
      <w:pPr>
        <w:pStyle w:val="ListParagraph"/>
        <w:numPr>
          <w:ilvl w:val="0"/>
          <w:numId w:val="2"/>
        </w:numPr>
        <w:spacing w:after="80"/>
      </w:pPr>
      <w:r>
        <w:rPr>
          <w:sz w:val="22"/>
          <w:szCs w:val="22"/>
        </w:rPr>
        <w:t xml:space="preserve">Exit Strategy: Hold, Sell, 1031 Exchange, or Undecided</w:t>
      </w:r>
    </w:p>
    <w:p>
      <w:pPr>
        <w:spacing w:after="120"/>
      </w:pPr>
      <w:r>
        <w:rPr>
          <w:sz w:val="22"/>
          <w:szCs w:val="22"/>
        </w:rPr>
        <w:t xml:space="preserve">Pages scroll to the top automatically between steps.</w:t>
      </w:r>
    </w:p>
    <w:p>
      <w:pPr>
        <w:spacing w:after="200"/>
      </w:pPr>
    </w:p>
    <w:p>
      <w:pPr>
        <w:pStyle w:val="Heading2"/>
      </w:pPr>
      <w:r>
        <w:t xml:space="preserve">Step 4: Review and Analyze</w:t>
      </w:r>
    </w:p>
    <w:p>
      <w:pPr>
        <w:spacing w:after="120"/>
      </w:pPr>
      <w:r>
        <w:rPr>
          <w:sz w:val="22"/>
          <w:szCs w:val="22"/>
        </w:rPr>
        <w:t xml:space="preserve">Review all inputs including selling costs. Click Analyze to generate the dashboard.</w:t>
      </w:r>
    </w:p>
    <w:p>
      <w:pPr>
        <w:spacing w:after="200"/>
      </w:pPr>
    </w:p>
    <w:p>
      <w:pPr>
        <w:pStyle w:val="Heading2"/>
      </w:pPr>
      <w:r>
        <w:t xml:space="preserve">Dashboard: Assumptions Bar</w:t>
      </w:r>
    </w:p>
    <w:p>
      <w:pPr>
        <w:spacing w:after="120"/>
      </w:pPr>
      <w:r>
        <w:rPr>
          <w:sz w:val="22"/>
          <w:szCs w:val="22"/>
        </w:rPr>
        <w:t xml:space="preserve">Opens by default with four sliders in a 2x2 grid, seeded from your questionnaire inputs: Vacancy, Appreciation, Alternative Return, Hold Period. Each has a tooltip. All charts update instantly.</w:t>
      </w:r>
    </w:p>
    <w:p>
      <w:pPr>
        <w:spacing w:after="200"/>
      </w:pPr>
    </w:p>
    <w:p>
      <w:pPr>
        <w:pStyle w:val="Heading2"/>
      </w:pPr>
      <w:r>
        <w:t xml:space="preserve">Dashboard: Overview Tab</w:t>
      </w:r>
    </w:p>
    <w:p>
      <w:pPr>
        <w:spacing w:after="120"/>
      </w:pPr>
      <w:r>
        <w:rPr>
          <w:sz w:val="22"/>
          <w:szCs w:val="22"/>
        </w:rPr>
        <w:t xml:space="preserve">Primary row: Hold Total Wealth, Sell and Invest, 1031 Exchange (if applicable), Recommendation.</w:t>
      </w:r>
    </w:p>
    <w:p>
      <w:pPr>
        <w:spacing w:after="120"/>
      </w:pPr>
      <w:r>
        <w:rPr>
          <w:sz w:val="22"/>
          <w:szCs w:val="22"/>
        </w:rPr>
        <w:t xml:space="preserve">Secondary row: Calculated Cap Rate (NOI/Value, in gold), Year 1 Cash Flow (green/red), Selling Costs (% and $ amount).</w:t>
      </w:r>
    </w:p>
    <w:p>
      <w:pPr>
        <w:pStyle w:val="ListParagraph"/>
        <w:numPr>
          <w:ilvl w:val="0"/>
          <w:numId w:val="2"/>
        </w:numPr>
        <w:spacing w:after="80"/>
      </w:pPr>
      <w:r>
        <w:rPr>
          <w:sz w:val="22"/>
          <w:szCs w:val="22"/>
        </w:rPr>
        <w:t xml:space="preserve">Cumulative Wealth Area Chart</w:t>
      </w:r>
    </w:p>
    <w:p>
      <w:pPr>
        <w:pStyle w:val="ListParagraph"/>
        <w:numPr>
          <w:ilvl w:val="0"/>
          <w:numId w:val="2"/>
        </w:numPr>
        <w:spacing w:after="80"/>
      </w:pPr>
      <w:r>
        <w:rPr>
          <w:sz w:val="22"/>
          <w:szCs w:val="22"/>
        </w:rPr>
        <w:t xml:space="preserve">Scenario Radar (5-axis comparison)</w:t>
      </w:r>
    </w:p>
    <w:p>
      <w:pPr>
        <w:spacing w:after="200"/>
      </w:pPr>
    </w:p>
    <w:p>
      <w:pPr>
        <w:pStyle w:val="Heading2"/>
      </w:pPr>
      <w:r>
        <w:t xml:space="preserve">Dashboard: Analysis Tab</w:t>
      </w:r>
    </w:p>
    <w:p>
      <w:pPr>
        <w:pStyle w:val="ListParagraph"/>
        <w:numPr>
          <w:ilvl w:val="0"/>
          <w:numId w:val="2"/>
        </w:numPr>
        <w:spacing w:after="80"/>
      </w:pPr>
      <w:r>
        <w:rPr>
          <w:sz w:val="22"/>
          <w:szCs w:val="22"/>
        </w:rPr>
        <w:t xml:space="preserve">Cash Flow and Net Income composed chart</w:t>
      </w:r>
    </w:p>
    <w:p>
      <w:pPr>
        <w:pStyle w:val="ListParagraph"/>
        <w:numPr>
          <w:ilvl w:val="0"/>
          <w:numId w:val="2"/>
        </w:numPr>
        <w:spacing w:after="80"/>
      </w:pPr>
      <w:r>
        <w:rPr>
          <w:sz w:val="22"/>
          <w:szCs w:val="22"/>
        </w:rPr>
        <w:t xml:space="preserve">Equity Growth stacked area</w:t>
      </w:r>
    </w:p>
    <w:p>
      <w:pPr>
        <w:pStyle w:val="ListParagraph"/>
        <w:numPr>
          <w:ilvl w:val="0"/>
          <w:numId w:val="2"/>
        </w:numPr>
        <w:spacing w:after="80"/>
      </w:pPr>
      <w:r>
        <w:rPr>
          <w:sz w:val="22"/>
          <w:szCs w:val="22"/>
        </w:rPr>
        <w:t xml:space="preserve">Year 1 Expense Pie</w:t>
      </w:r>
    </w:p>
    <w:p>
      <w:pPr>
        <w:pStyle w:val="ListParagraph"/>
        <w:numPr>
          <w:ilvl w:val="0"/>
          <w:numId w:val="2"/>
        </w:numPr>
        <w:spacing w:after="80"/>
      </w:pPr>
      <w:r>
        <w:rPr>
          <w:sz w:val="22"/>
          <w:szCs w:val="22"/>
        </w:rPr>
        <w:t xml:space="preserve">Sale Proceeds Waterfall</w:t>
      </w:r>
    </w:p>
    <w:p>
      <w:pPr>
        <w:pStyle w:val="ListParagraph"/>
        <w:numPr>
          <w:ilvl w:val="0"/>
          <w:numId w:val="2"/>
        </w:numPr>
        <w:spacing w:after="80"/>
      </w:pPr>
      <w:r>
        <w:rPr>
          <w:sz w:val="22"/>
          <w:szCs w:val="22"/>
        </w:rPr>
        <w:t xml:space="preserve">Year-by-Year Table</w:t>
      </w:r>
    </w:p>
    <w:p>
      <w:pPr>
        <w:spacing w:after="200"/>
      </w:pPr>
    </w:p>
    <w:p>
      <w:pPr>
        <w:pStyle w:val="Heading2"/>
      </w:pPr>
      <w:r>
        <w:t xml:space="preserve">Pro: Tax Benefits</w:t>
      </w:r>
    </w:p>
    <w:p>
      <w:pPr>
        <w:spacing w:after="120"/>
      </w:pPr>
      <w:r>
        <w:rPr>
          <w:sz w:val="22"/>
          <w:szCs w:val="22"/>
        </w:rPr>
        <w:t xml:space="preserve">Straight-line vs cost segregation with bar chart. Chart and savings labels dynamically match your hold period slider.</w:t>
      </w:r>
    </w:p>
    <w:p>
      <w:pPr>
        <w:spacing w:after="200"/>
      </w:pPr>
    </w:p>
    <w:p>
      <w:pPr>
        <w:pStyle w:val="Heading2"/>
      </w:pPr>
      <w:r>
        <w:t xml:space="preserve">Pro: Mortgage Comparison</w:t>
      </w:r>
    </w:p>
    <w:p>
      <w:pPr>
        <w:spacing w:after="120"/>
      </w:pPr>
      <w:r>
        <w:rPr>
          <w:sz w:val="22"/>
          <w:szCs w:val="22"/>
        </w:rPr>
        <w:t xml:space="preserve">Two editable loan scenarios. Interest rate carries over from your questionnaire inputs. Three charts: Remaining Balance (area), Principal vs Interest (stacked bar), Payment Comparison (horizontal bar). Comparison text accurately describes trade-offs.</w:t>
      </w:r>
    </w:p>
    <w:p>
      <w:pPr>
        <w:spacing w:after="200"/>
      </w:pPr>
    </w:p>
    <w:p>
      <w:pPr>
        <w:pStyle w:val="Heading2"/>
      </w:pPr>
      <w:r>
        <w:t xml:space="preserve">Pro: What-If Snapshots</w:t>
      </w:r>
    </w:p>
    <w:p>
      <w:pPr>
        <w:spacing w:after="120"/>
      </w:pPr>
      <w:r>
        <w:rPr>
          <w:sz w:val="22"/>
          <w:szCs w:val="22"/>
        </w:rPr>
        <w:t xml:space="preserve">Save slider assumptions as named scenarios. Each shows Hold/Sell totals, Load and Delete buttons.</w:t>
      </w:r>
    </w:p>
    <w:p>
      <w:pPr>
        <w:spacing w:after="120"/>
      </w:pPr>
      <w:r>
        <w:rPr>
          <w:sz w:val="22"/>
          <w:szCs w:val="22"/>
        </w:rPr>
        <w:t xml:space="preserve">Side-by-side comparison: check 2-3 snapshots to activate:</w:t>
      </w:r>
    </w:p>
    <w:p>
      <w:pPr>
        <w:pStyle w:val="ListParagraph"/>
        <w:numPr>
          <w:ilvl w:val="0"/>
          <w:numId w:val="2"/>
        </w:numPr>
        <w:spacing w:after="80"/>
      </w:pPr>
      <w:r>
        <w:rPr>
          <w:sz w:val="22"/>
          <w:szCs w:val="22"/>
        </w:rPr>
        <w:t xml:space="preserve">Grouped Bar Chart: Hold vs Sell per scenario</w:t>
      </w:r>
    </w:p>
    <w:p>
      <w:pPr>
        <w:pStyle w:val="ListParagraph"/>
        <w:numPr>
          <w:ilvl w:val="0"/>
          <w:numId w:val="2"/>
        </w:numPr>
        <w:spacing w:after="80"/>
      </w:pPr>
      <w:r>
        <w:rPr>
          <w:sz w:val="22"/>
          <w:szCs w:val="22"/>
        </w:rPr>
        <w:t xml:space="preserve">Radar Overlay: 5-axis normalized comparison (Hold Wealth, Sell Wealth, Cash Flow, Cap Rate, Hold Period)</w:t>
      </w:r>
    </w:p>
    <w:p>
      <w:pPr>
        <w:pStyle w:val="ListParagraph"/>
        <w:numPr>
          <w:ilvl w:val="0"/>
          <w:numId w:val="2"/>
        </w:numPr>
        <w:spacing w:after="80"/>
      </w:pPr>
      <w:r>
        <w:rPr>
          <w:sz w:val="22"/>
          <w:szCs w:val="22"/>
        </w:rPr>
        <w:t xml:space="preserve">Comparison Table: 10 metrics across all selected scenarios with color-coded recommendations</w:t>
      </w:r>
    </w:p>
    <w:p>
      <w:pPr>
        <w:spacing w:after="200"/>
      </w:pPr>
    </w:p>
    <w:p>
      <w:pPr>
        <w:pStyle w:val="Heading2"/>
      </w:pPr>
      <w:r>
        <w:t xml:space="preserve">Pro: AI Summary</w:t>
      </w:r>
    </w:p>
    <w:p>
      <w:pPr>
        <w:spacing w:after="120"/>
      </w:pPr>
      <w:r>
        <w:rPr>
          <w:sz w:val="22"/>
          <w:szCs w:val="22"/>
        </w:rPr>
        <w:t xml:space="preserve">Six presets (Investor Brief, Partner Explainer, CPA Memo, Risk Assessment, Market Letter, Quick Take). Controls for Tone, Length, AI Model. Generate, Regenerate, Copy.</w:t>
      </w:r>
    </w:p>
    <w:p>
      <w:pPr>
        <w:spacing w:after="200"/>
      </w:pPr>
    </w:p>
    <w:p>
      <w:pPr>
        <w:pStyle w:val="Heading2"/>
      </w:pPr>
      <w:r>
        <w:t xml:space="preserve">How It Works Tab</w:t>
      </w:r>
    </w:p>
    <w:p>
      <w:pPr>
        <w:spacing w:after="120"/>
      </w:pPr>
      <w:r>
        <w:rPr>
          <w:sz w:val="22"/>
          <w:szCs w:val="22"/>
        </w:rPr>
        <w:t xml:space="preserve">6-step walkthrough, key metrics glossary, and download links for User Manual and Glossary.</w:t>
      </w:r>
    </w:p>
    <w:p>
      <w:pPr>
        <w:spacing w:after="200"/>
      </w:pPr>
    </w:p>
    <w:p>
      <w:pPr>
        <w:pStyle w:val="Heading2"/>
      </w:pPr>
      <w:r>
        <w:t xml:space="preserve">Pro Signup</w:t>
      </w:r>
    </w:p>
    <w:p>
      <w:pPr>
        <w:spacing w:after="120"/>
      </w:pPr>
      <w:r>
        <w:rPr>
          <w:sz w:val="22"/>
          <w:szCs w:val="22"/>
        </w:rPr>
        <w:t xml:space="preserve">Click PRO, enter name/email/phone, receive a 6-digit verification code by email, enter it to unlock. Welcome email sent to you; Joe and Dino notified automatically.</w:t>
      </w:r>
    </w:p>
    <w:p>
      <w:pPr>
        <w:spacing w:after="200"/>
      </w:pPr>
    </w:p>
    <w:p>
      <w:pPr>
        <w:pStyle w:val="Heading2"/>
      </w:pPr>
      <w:r>
        <w:t xml:space="preserve">Disclaimer</w:t>
      </w:r>
    </w:p>
    <w:p>
      <w:pPr>
        <w:spacing w:after="120"/>
        <w:rPr>
          <w:color w:val="94A3B8"/>
          <w:sz w:val="20"/>
          <w:szCs w:val="20"/>
        </w:rPr>
      </w:pPr>
      <w:r>
        <w:rPr>
          <w:color w:val="94A3B8"/>
          <w:sz w:val="20"/>
          <w:szCs w:val="20"/>
        </w:rPr>
        <w:t xml:space="preserve">This tool does not constitute financial or investment advice. Consult a qualified professional before making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7A5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9A78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2026-04-04T22:29:15.765Z</dcterms:created>
  <dcterms:modified xsi:type="dcterms:W3CDTF">2026-04-04T22:29:15.766Z</dcterms:modified>
</cp:coreProperties>
</file>

<file path=docProps/custom.xml><?xml version="1.0" encoding="utf-8"?>
<Properties xmlns="http://schemas.openxmlformats.org/officeDocument/2006/custom-properties" xmlns:vt="http://schemas.openxmlformats.org/officeDocument/2006/docPropsVTypes"/>
</file>