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PropertyPath Glossary</w:t>
      </w:r>
    </w:p>
    <w:p>
      <w:pPr>
        <w:spacing w:after="120"/>
        <w:rPr>
          <w:color w:val="94A3B8"/>
          <w:sz w:val="20"/>
          <w:szCs w:val="20"/>
        </w:rPr>
      </w:pPr>
      <w:r>
        <w:rPr>
          <w:color w:val="94A3B8"/>
          <w:sz w:val="20"/>
          <w:szCs w:val="20"/>
        </w:rPr>
        <w:t xml:space="preserve">Version 3.6.0 | Vacation Home Group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1031 Exchange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Tax-deferred property swap under IRS Section 1031.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Adjusted Basis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price minus accumulated depreciation.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Alternative Return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annual return if you sell and invest elsewhere.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Appreciation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Expected yearly property value growth (adjustable in 0.5% steps).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Buyer Mode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Activated when "evaluating a new purchase" is selected. Changes labels to Buy &amp; Hold vs Don't Buy Invest, adjusts math for closing costs, hides exit strategy and 1031.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NOI divided by property value. Calculated automatically in the Overview tab.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Expenses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Major replacement costs (roof, HVAC, water heater) projected from component ages and shown in the Upcoming Capital Expenses card.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Capital Gains Tax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on profit from selling. Long-term rates: 0%, 15%, or 20%.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Cash Flow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Revenue minus all expenses. Positive = profit, negative = loss.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Cost Segregation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method to accelerate depreciation on building components.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Tax deduction over 27.5 years on 85% of purchase price.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Depreciation Recapture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IRS recaptures claimed depreciation at 25% when you sell.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Email My Results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feature on Overview tab. Sends branded analysis email to the user.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Property value minus mortgage balance.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Goal Discovery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Five pre-analysis questions about situation, priority, risk, timeline, and experience that personalize your AI analysis.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Hold 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Equity plus cumulative net cash flow at end of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Maintenance Schedule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Roof replacement at 25 years (4% of value), HVAC at 15 years (2%), water heater at 12 years (0.5%). Overdue components trigger in Year 1.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Mobile Bottom Nav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Fixed navigation bar on screens under 640px with icons for main tabs.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Net Operating Income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Gross rent minus expenses and vacancy, before debt service.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Onboarding Tour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4-step guided walkthrough for first-time users. Dismisses permanently.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PDF Report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Print-ready report with property details, metrics, projections, AI summary, and disclaimers. Opens in new tab.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Persistence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 status saved to localStorage. Survives page refreshes and browser restarts.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Purchase Costs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Buyer mode equivalent of Selling Costs. Default 2-4% for closing costs, title, inspections.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Saved Properties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 up to 3 analyses to localStorage for side-by-side comparison with charts and tables.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Selling Costs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Agent commissions plus closing costs. Default 7.5%, adjustable for private sales (1-3%).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Sensitivity Sliders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Vacancy, appreciation (0.5% steps), alt return (0.5% steps), hold period.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Share Link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Compact URL encoding of property inputs for sharing. Uses short keys and skips defaults.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Total Wealth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Primary comparison: Hold (equity + cash) vs Sell (invested proceeds).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Vacancy Rate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Percentage of time unoccupied. STR average 40-55% — normal for short-term rentals.</w:t>
            </w:r>
          </w:p>
        </w:tc>
      </w:tr>
      <w:tr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What-If Snapshot</w:t>
            </w:r>
          </w:p>
        </w:tc>
        <w:tc>
          <w:tcPr>
            <w:tcW w:type="dxa" w:w="4680"/>
            <w:tcBorders>
              <w:top w:val="single" w:color="D8D8D8" w:sz="1"/>
              <w:left w:val="single" w:color="D8D8D8" w:sz="1"/>
              <w:bottom w:val="single" w:color="D8D8D8" w:sz="1"/>
              <w:right w:val="single" w:color="D8D8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Saved slider assumptions. Compare up to 3 side by side.</w:t>
            </w:r>
          </w:p>
        </w:tc>
      </w:tr>
    </w:tbl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7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A7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2026-04-05T22:17:39.577Z</dcterms:created>
  <dcterms:modified xsi:type="dcterms:W3CDTF">2026-04-05T22:17:39.577Z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