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PropertyPath User Manual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Version 3.6.0 | Vacation Home Group</w:t>
      </w:r>
    </w:p>
    <w:p>
      <w:pPr>
        <w:spacing w:after="200"/>
      </w:pPr>
    </w:p>
    <w:p>
      <w:pPr>
        <w:pStyle w:val="Heading2"/>
      </w:pPr>
      <w:r>
        <w:t xml:space="preserve">Getting Started</w:t>
      </w:r>
    </w:p>
    <w:p>
      <w:pPr>
        <w:spacing w:after="120"/>
      </w:pPr>
      <w:r>
        <w:rPr>
          <w:sz w:val="22"/>
          <w:szCs w:val="22"/>
        </w:rPr>
        <w:t xml:space="preserve">PropertyPath is a web-based real estate investment advisor by Vacation Home Group. It starts with a personal goal discovery, then models scenarios and recommends the best path. All calculations run in your browser. The theme auto-detects your system preference (dark/light) on first visit, and can be toggled manually.</w:t>
      </w:r>
    </w:p>
    <w:p>
      <w:pPr>
        <w:spacing w:after="200"/>
      </w:pPr>
    </w:p>
    <w:p>
      <w:pPr>
        <w:pStyle w:val="Heading2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Calculator: opens the goal discovery (or questionnaire if already 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Resources: scrolls to documentation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 / Pro: scrolls to pricing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Theme toggle: dark/light mode (auto-detects system preference on first visit)</w:t>
      </w:r>
    </w:p>
    <w:p>
      <w:pPr>
        <w:spacing w:after="200"/>
      </w:pPr>
    </w:p>
    <w:p>
      <w:pPr>
        <w:pStyle w:val="Heading2"/>
      </w:pPr>
      <w:r>
        <w:t xml:space="preserve">Onboarding Tour</w:t>
      </w:r>
    </w:p>
    <w:p>
      <w:pPr>
        <w:spacing w:after="120"/>
      </w:pPr>
      <w:r>
        <w:rPr>
          <w:sz w:val="22"/>
          <w:szCs w:val="22"/>
        </w:rPr>
        <w:t xml:space="preserve">First-time users see a 4-step guided tour covering the Overview tab, Assumptions Sliders, Tabs, and Save &amp; Share actions. Click "Next" to step through or "Skip Tour" to dismiss permanently. To reset: clear vhg-tour-done from localStorage.</w:t>
      </w:r>
    </w:p>
    <w:p>
      <w:pPr>
        <w:spacing w:after="200"/>
      </w:pPr>
    </w:p>
    <w:p>
      <w:pPr>
        <w:pStyle w:val="Heading2"/>
      </w:pPr>
      <w:r>
        <w:t xml:space="preserve">Goal Discovery</w:t>
      </w:r>
    </w:p>
    <w:p>
      <w:pPr>
        <w:spacing w:after="120"/>
      </w:pPr>
      <w:r>
        <w:rPr>
          <w:sz w:val="22"/>
          <w:szCs w:val="22"/>
        </w:rPr>
        <w:t xml:space="preserve">Before entering property details, you answer 5 quick questions about your situation, priority, risk tolerance, timeline, and experience level. Each question has preset options plus a "Something else..." free-text input. Your answers personalize the AI analysis and are included in Pro signup notifications.</w:t>
      </w:r>
    </w:p>
    <w:p>
      <w:pPr>
        <w:spacing w:after="120"/>
      </w:pPr>
      <w:r>
        <w:rPr>
          <w:sz w:val="22"/>
          <w:szCs w:val="22"/>
        </w:rPr>
        <w:t xml:space="preserve">If you select "I'm evaluating a new purchase," the app switches to Buyer Mode. A tip recommends STRcalc for deeper purchase analysis. The questionnaire, dashboard labels, calculations, and AI prompt all adapt for a buy/don't-buy comparison.</w:t>
      </w:r>
    </w:p>
    <w:p>
      <w:pPr>
        <w:spacing w:after="200"/>
      </w:pPr>
    </w:p>
    <w:p>
      <w:pPr>
        <w:pStyle w:val="Heading2"/>
      </w:pPr>
      <w:r>
        <w:t xml:space="preserve">Step 1: Property and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Property Type, Location, Purchase Price, Current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Years Owned: auto-calculates mortgage years remaining (hidden in Buyer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Gross Rent, Management Style</w:t>
      </w:r>
    </w:p>
    <w:p>
      <w:pPr>
        <w:spacing w:after="120"/>
      </w:pPr>
      <w:r>
        <w:rPr>
          <w:sz w:val="22"/>
          <w:szCs w:val="22"/>
        </w:rPr>
        <w:t xml:space="preserve">In Buyer Mode: "Purchase Price" becomes "Asking Price," "Current Value" becomes "Est. Market Value," and tips reference expected rather than historical data.</w:t>
      </w:r>
    </w:p>
    <w:p>
      <w:pPr>
        <w:spacing w:after="200"/>
      </w:pPr>
    </w:p>
    <w:p>
      <w:pPr>
        <w:pStyle w:val="Heading2"/>
      </w:pPr>
      <w:r>
        <w:t xml:space="preserve">Step 2: Financial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Expenses, Vacancy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Mortgage Balance (or Loan Amount in Buyer Mode), Interest Rate, Years Remaining (or Loan Term)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Property Condition: Roof, HVAC, water heater ages — triggers capital expense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Federal Tax Bracket</w:t>
      </w:r>
    </w:p>
    <w:p>
      <w:pPr>
        <w:spacing w:after="120"/>
      </w:pPr>
      <w:r>
        <w:rPr>
          <w:sz w:val="22"/>
          <w:szCs w:val="22"/>
        </w:rPr>
        <w:t xml:space="preserve">Dollar fields auto-format with commas.</w:t>
      </w:r>
    </w:p>
    <w:p>
      <w:pPr>
        <w:spacing w:after="200"/>
      </w:pPr>
    </w:p>
    <w:p>
      <w:pPr>
        <w:pStyle w:val="Heading2"/>
      </w:pPr>
      <w:r>
        <w:t xml:space="preserve">Step 3: Market and Exit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Appreciation (0.5% increments), Cap Rate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Alternative Investment and Expected Return (0.5% increments)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Selling Costs (default 7.5%) or Purchase Costs (default 3%) in Buyer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Exit Strategy with optional 1031 replacement property details (hidden in Buyer Mode)</w:t>
      </w:r>
    </w:p>
    <w:p>
      <w:pPr>
        <w:spacing w:after="200"/>
      </w:pPr>
    </w:p>
    <w:p>
      <w:pPr>
        <w:pStyle w:val="Heading2"/>
      </w:pPr>
      <w:r>
        <w:t xml:space="preserve">Dashboard Overview</w:t>
      </w:r>
    </w:p>
    <w:p>
      <w:pPr>
        <w:spacing w:after="120"/>
      </w:pPr>
      <w:r>
        <w:rPr>
          <w:sz w:val="22"/>
          <w:szCs w:val="22"/>
        </w:rPr>
        <w:t xml:space="preserve">Primary metrics: Hold Total (or Buy &amp; Hold), Sell &amp; Invest (or Don't Buy, Invest), 1031 Exchange, Recommendation.</w:t>
      </w:r>
    </w:p>
    <w:p>
      <w:pPr>
        <w:spacing w:after="120"/>
      </w:pPr>
      <w:r>
        <w:rPr>
          <w:sz w:val="22"/>
          <w:szCs w:val="22"/>
        </w:rPr>
        <w:t xml:space="preserve">Secondary metrics: Calculated Cap Rate, Year 1 Cash Flow, Selling/Purchase Costs.</w:t>
      </w:r>
    </w:p>
    <w:p>
      <w:pPr>
        <w:spacing w:after="120"/>
      </w:pPr>
      <w:r>
        <w:rPr>
          <w:sz w:val="22"/>
          <w:szCs w:val="22"/>
        </w:rPr>
        <w:t xml:space="preserve">Upcoming Capital Expenses: cards showing projected roof, HVAC, and water heater replacements with year, cost, and age. Components past their lifespan show as "Overdue now."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Cumulative Wealth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Scenario Radar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My Results button (Pro users): sends a branded analysis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Save Property button: saves the current analysis (up to 3) for comparison</w:t>
      </w:r>
    </w:p>
    <w:p>
      <w:pPr>
        <w:spacing w:after="200"/>
      </w:pPr>
    </w:p>
    <w:p>
      <w:pPr>
        <w:pStyle w:val="Heading2"/>
      </w:pPr>
      <w:r>
        <w:t xml:space="preserve">Saved Properties Tab</w:t>
      </w:r>
    </w:p>
    <w:p>
      <w:pPr>
        <w:spacing w:after="120"/>
      </w:pPr>
      <w:r>
        <w:rPr>
          <w:sz w:val="22"/>
          <w:szCs w:val="22"/>
        </w:rPr>
        <w:t xml:space="preserve">Appears when you have 1 or more saved properties. Shows each property as a card with location, date, Hold/Sell totals, and a delete button. With 2+ properties, shows a grouped bar chart comparison and a side-by-side table with Hold Total, Sell &amp; Invest, Year 1 Cash Flow, and Recommendation.</w:t>
      </w:r>
    </w:p>
    <w:p>
      <w:pPr>
        <w:spacing w:after="200"/>
      </w:pPr>
    </w:p>
    <w:p>
      <w:pPr>
        <w:pStyle w:val="Heading2"/>
      </w:pPr>
      <w:r>
        <w:t xml:space="preserve">Dashboard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Cash Flow composed chart, Equity Growth, Expense Pie, Sale Proceeds Waterfall, Year-by-Year Table</w:t>
      </w:r>
    </w:p>
    <w:p>
      <w:pPr>
        <w:spacing w:after="200"/>
      </w:pPr>
    </w:p>
    <w:p>
      <w:pPr>
        <w:pStyle w:val="Heading2"/>
      </w:pPr>
      <w:r>
        <w:t xml:space="preserve">Share Link</w:t>
      </w:r>
    </w:p>
    <w:p>
      <w:pPr>
        <w:spacing w:after="120"/>
      </w:pPr>
      <w:r>
        <w:rPr>
          <w:sz w:val="22"/>
          <w:szCs w:val="22"/>
        </w:rPr>
        <w:t xml:space="preserve">Click "Share Link" in the dashboard header to copy a compact URL that encodes your property inputs. Anyone who opens the link will see the same analysis. The link uses short keys and skips default values to keep URLs short.</w:t>
      </w:r>
    </w:p>
    <w:p>
      <w:pPr>
        <w:spacing w:after="200"/>
      </w:pPr>
    </w:p>
    <w:p>
      <w:pPr>
        <w:pStyle w:val="Heading2"/>
      </w:pPr>
      <w:r>
        <w:t xml:space="preserve">PDF Report</w:t>
      </w:r>
    </w:p>
    <w:p>
      <w:pPr>
        <w:spacing w:after="120"/>
      </w:pPr>
      <w:r>
        <w:rPr>
          <w:sz w:val="22"/>
          <w:szCs w:val="22"/>
        </w:rPr>
        <w:t xml:space="preserve">Click "PDF Report" to open a print-ready report in a new tab. Includes property overview, key metrics, assumptions, capital expenses, year-by-year projections, AI summary (if generated), client profile (if discovery completed), and full disclaimer. Click "Print / Save as PDF" to export.</w:t>
      </w:r>
    </w:p>
    <w:p>
      <w:pPr>
        <w:spacing w:after="200"/>
      </w:pPr>
    </w:p>
    <w:p>
      <w:pPr>
        <w:pStyle w:val="Heading2"/>
      </w:pPr>
      <w:r>
        <w:t xml:space="preserve">Pro Features</w:t>
      </w:r>
    </w:p>
    <w:p>
      <w:pPr>
        <w:spacing w:after="120"/>
      </w:pPr>
      <w:r>
        <w:rPr>
          <w:sz w:val="22"/>
          <w:szCs w:val="22"/>
        </w:rPr>
        <w:t xml:space="preserve">Unlock via email verification (free for VHG clients). Pro status persists across sessions via localStorage.</w:t>
      </w:r>
    </w:p>
    <w:p>
      <w:pPr>
        <w:pStyle w:val="Heading3"/>
      </w:pPr>
      <w:r>
        <w:t xml:space="preserve">Tax Benefits</w:t>
      </w:r>
    </w:p>
    <w:p>
      <w:pPr>
        <w:spacing w:after="120"/>
      </w:pPr>
      <w:r>
        <w:rPr>
          <w:sz w:val="22"/>
          <w:szCs w:val="22"/>
        </w:rPr>
        <w:t xml:space="preserve">Straight-line vs cost segregation. Chart and labels match hold period slider.</w:t>
      </w:r>
    </w:p>
    <w:p>
      <w:pPr>
        <w:pStyle w:val="Heading3"/>
      </w:pPr>
      <w:r>
        <w:t xml:space="preserve">Mortgage Comparison</w:t>
      </w:r>
    </w:p>
    <w:p>
      <w:pPr>
        <w:spacing w:after="120"/>
      </w:pPr>
      <w:r>
        <w:rPr>
          <w:sz w:val="22"/>
          <w:szCs w:val="22"/>
        </w:rPr>
        <w:t xml:space="preserve">Two scenarios, three charts. Interest rate carries from questionnaire.</w:t>
      </w:r>
    </w:p>
    <w:p>
      <w:pPr>
        <w:pStyle w:val="Heading3"/>
      </w:pPr>
      <w:r>
        <w:t xml:space="preserve">What-If Snapshots</w:t>
      </w:r>
    </w:p>
    <w:p>
      <w:pPr>
        <w:spacing w:after="120"/>
      </w:pPr>
      <w:r>
        <w:rPr>
          <w:sz w:val="22"/>
          <w:szCs w:val="22"/>
        </w:rPr>
        <w:t xml:space="preserve">Save, delete, and compare up to 3 slider configurations side by side: grouped bar chart, radar overlay, 10-metric comparison table.</w:t>
      </w:r>
    </w:p>
    <w:p>
      <w:pPr>
        <w:pStyle w:val="Heading3"/>
      </w:pPr>
      <w:r>
        <w:t xml:space="preserve">AI Investment Summary</w:t>
      </w:r>
    </w:p>
    <w:p>
      <w:pPr>
        <w:spacing w:after="120"/>
      </w:pPr>
      <w:r>
        <w:rPr>
          <w:sz w:val="22"/>
          <w:szCs w:val="22"/>
        </w:rPr>
        <w:t xml:space="preserve">Six presets with tone/length controls. STR industry benchmarks are built into the prompt (vacancy 40-55% is normal, cap rate 5-10%, etc). Discovery profile, property condition, and capital expense data are all included. Markdown formatting renders as styled headers, bold, bullets, and numbered lists. Claude and Gemini supported. Every summary ends with a liability disclaimer.</w:t>
      </w:r>
    </w:p>
    <w:p>
      <w:pPr>
        <w:pStyle w:val="Heading3"/>
      </w:pPr>
      <w:r>
        <w:t xml:space="preserve">Email AI Summary</w:t>
      </w:r>
    </w:p>
    <w:p>
      <w:pPr>
        <w:spacing w:after="120"/>
      </w:pPr>
      <w:r>
        <w:rPr>
          <w:sz w:val="22"/>
          <w:szCs w:val="22"/>
        </w:rPr>
        <w:t xml:space="preserve">Pro users can email the AI summary to themselves via the "Email to Me" button.</w:t>
      </w:r>
    </w:p>
    <w:p>
      <w:pPr>
        <w:spacing w:after="200"/>
      </w:pPr>
    </w:p>
    <w:p>
      <w:pPr>
        <w:pStyle w:val="Heading2"/>
      </w:pPr>
      <w:r>
        <w:t xml:space="preserve">Buyer Mode</w:t>
      </w:r>
    </w:p>
    <w:p>
      <w:pPr>
        <w:spacing w:after="120"/>
      </w:pPr>
      <w:r>
        <w:rPr>
          <w:sz w:val="22"/>
          <w:szCs w:val="22"/>
        </w:rPr>
        <w:t xml:space="preserve">When "I'm evaluating a new purchase" is selected in Goal Discovery, the entire app adapts: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Labels: Hold becomes "Buy &amp; Hold," Sell becomes "Don't Buy, Invest"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Math: Purchase costs (default 3%) reduce buyer equity. "Don't Buy" invests down payment + closing costs at the alternative return rate. No selling costs, capital gains, or depreciation recapture.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Questionnaire: hides Years Owned, Exit Strategy, and 1031. Relabels Mortgage to Loan.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prompt: explicit buyer context — never references selling</w:t>
      </w:r>
    </w:p>
    <w:p>
      <w:pPr>
        <w:spacing w:after="200"/>
      </w:pPr>
    </w:p>
    <w:p>
      <w:pPr>
        <w:pStyle w:val="Heading2"/>
      </w:pPr>
      <w:r>
        <w:t xml:space="preserve">Mobile Bottom Nav</w:t>
      </w:r>
    </w:p>
    <w:p>
      <w:pPr>
        <w:spacing w:after="120"/>
      </w:pPr>
      <w:r>
        <w:rPr>
          <w:sz w:val="22"/>
          <w:szCs w:val="22"/>
        </w:rPr>
        <w:t xml:space="preserve">On screens under 640px, a fixed bottom navigation bar appears with icons for Overview, Analysis, Properties (if saved), AI (if Pro), and Help. Handles safe-area insets for phones with notches.</w:t>
      </w:r>
    </w:p>
    <w:p>
      <w:pPr>
        <w:spacing w:after="200"/>
      </w:pPr>
    </w:p>
    <w:p>
      <w:pPr>
        <w:pStyle w:val="Heading2"/>
      </w:pPr>
      <w:r>
        <w:t xml:space="preserve">How It Works Tab</w:t>
      </w:r>
    </w:p>
    <w:p>
      <w:pPr>
        <w:spacing w:after="120"/>
      </w:pPr>
      <w:r>
        <w:rPr>
          <w:sz w:val="22"/>
          <w:szCs w:val="22"/>
        </w:rPr>
        <w:t xml:space="preserve">6-step walkthrough, key metrics glossary, and documentation downloads.</w:t>
      </w:r>
    </w:p>
    <w:p>
      <w:pPr>
        <w:spacing w:after="200"/>
      </w:pPr>
    </w:p>
    <w:p>
      <w:pPr>
        <w:pStyle w:val="Heading2"/>
      </w:pPr>
      <w:r>
        <w:t xml:space="preserve">Disclaimer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This tool does not constitute financial, tax, or investment advice. Projections are estimates based on user-provided inputs. Consult a qualified real estate professional, CPA, or financial advisor before making investment decisions. Vacation Home Group, its agents, and this platform assume no liability for decisions made based on this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2026-04-05T22:17:39.393Z</dcterms:created>
  <dcterms:modified xsi:type="dcterms:W3CDTF">2026-04-05T22:17:39.394Z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