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STRInvestCalc Glossary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Version 3.1.0 | Vacation Home Group</w:t>
      </w:r>
    </w:p>
    <w:p>
      <w:pPr>
        <w:spacing w:after="120"/>
      </w:pPr>
      <w:r>
        <w:rPr>
          <w:sz w:val="22"/>
          <w:szCs w:val="22"/>
        </w:rPr>
        <w:t xml:space="preserve">Alphabetical definitions of every term and abbreviation used in the STRInvestCalc tool.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1031 Exchange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tax-deferred swap of one investment property for another of equal or greater value under IRS Section 1031. Defers capital gains tax and depreciation recapture.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Adjusted Basis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Purchase price minus accumulated depreciation. Used to calculate capital gains on sale.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Alternative Return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annual return you would expect if you sold the property and invested the proceeds elsewhere (e.g., S&amp;P 500, bonds).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Appreciation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expected percentage increase in property value each year. US historical average is approximately 3-4%.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 Rate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Capitalization Rate. Net Operating Income divided by property value. Measures investment yield independent of financing.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Capital Gains Tax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 owed on the profit from selling a property. Long-term capital gains (held over 1 year) are taxed at 0%, 15%, or 20% depending on income.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Cash Flow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Revenue minus all expenses (operating, maintenance, debt service). Can be positive (profit) or negative (loss).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Cash-on-Cash Return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pre-tax cash flow divided by total cash invested. Measures return on actual dollars deployed.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Cost Segregation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 IRS-approved method to accelerate depreciation by reclassifying building components (carpeting, appliances, fixtures) into shorter depreciation schedules (5, 7, or 15 years).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Cumulative Cash Flow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net cash flow accumulated over the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tax deduction that accounts for wear and tear on the building (not land). Residential rental properties depreciate over 27.5 years on 85% of the purchase price.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 Recapture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When you sell, the IRS "recaptures" depreciation you claimed at a 25% tax rate, regardless of your income bracket.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Equity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Property value minus outstanding mortgage balance. Your ownership stake.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 Period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number of years you plan to keep the property before selling or exchanging.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 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Property equity plus cumulative net cash flow at the end of the hold period. Represents total financial outcome of keeping the property.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Maintenance Reserve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Money set aside for major repairs. The tool projects costs based on component ages: roofs (25-30 year life, ~4% of value), HVAC (15-20 years, ~2%), water heaters (10-15 years).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 Operating Income (NOI)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Gross rental income minus operating expenses and vacancy, but before debt service.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 Proceeds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 you keep after selling: gross equity minus selling costs (realtor fees, closing costs) minus taxes (capital gains, depreciation recapture).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Sell and Invest Value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After-tax sale proceeds invested at the chosen alternative return rate, compounded over the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Sensitivity Sliders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Interactive controls that let you adjust vacancy, appreciation, alternative return, and hold period. All charts recalculate instantly.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Straight-Line Depreciation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standard method: depreciable basis (85% of purchase price) divided by 27.5 years, taken equally each year.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primary comparison metric. For Hold: equity plus cumulative cash flow. For Sell: invested proceeds at the alternative return. Whichever is higher wins the recommendation.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Vacancy Rate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percentage of time the property sits unoccupied. National STR average is 25-40%.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What-If Snapshot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saved set of slider assumptions (vacancy, appreciation, return, hold period) that you can name and reload for comparison.</w:t>
            </w:r>
          </w:p>
        </w:tc>
      </w:tr>
    </w:tbl>
    <w:p>
      <w:pPr>
        <w:spacing w:after="200"/>
      </w:pP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This glossary is part of the STRInvestCalc documentation suite. For step-by-step usage instructions, see the User Manual.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2026-04-04T19:51:12.104Z</dcterms:created>
  <dcterms:modified xsi:type="dcterms:W3CDTF">2026-04-04T19:51:12.104Z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