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STRInvestCalc User Manual</w:t>
      </w:r>
    </w:p>
    <w:p>
      <w:pPr>
        <w:spacing w:after="120"/>
        <w:rPr>
          <w:color w:val="94A3B8"/>
          <w:sz w:val="20"/>
          <w:szCs w:val="20"/>
        </w:rPr>
      </w:pPr>
      <w:r>
        <w:rPr>
          <w:color w:val="94A3B8"/>
          <w:sz w:val="20"/>
          <w:szCs w:val="20"/>
        </w:rPr>
        <w:t xml:space="preserve">Version 3.1.0 | Vacation Home Group</w:t>
      </w:r>
    </w:p>
    <w:p>
      <w:pPr>
        <w:spacing w:after="200"/>
      </w:pPr>
    </w:p>
    <w:p>
      <w:pPr>
        <w:pStyle w:val="Heading2"/>
      </w:pPr>
      <w:r>
        <w:t xml:space="preserve">Getting Started</w:t>
      </w:r>
    </w:p>
    <w:p>
      <w:pPr>
        <w:spacing w:after="120"/>
      </w:pPr>
      <w:r>
        <w:rPr>
          <w:sz w:val="22"/>
          <w:szCs w:val="22"/>
        </w:rPr>
        <w:t xml:space="preserve">STRInvestCalc is a web-based investment decision tool for short-term rental (STR) property owners. It helps you determine whether to hold your property, sell and invest the proceeds elsewhere, or execute a 1031 exchange into a replacement property.</w:t>
      </w:r>
    </w:p>
    <w:p>
      <w:pPr>
        <w:spacing w:after="120"/>
      </w:pPr>
      <w:r>
        <w:rPr>
          <w:sz w:val="22"/>
          <w:szCs w:val="22"/>
        </w:rPr>
        <w:t xml:space="preserve">No account is required for Standard features. All calculations run entirely in your browser.</w:t>
      </w:r>
    </w:p>
    <w:p>
      <w:pPr>
        <w:spacing w:after="200"/>
      </w:pPr>
    </w:p>
    <w:p>
      <w:pPr>
        <w:pStyle w:val="Heading2"/>
      </w:pPr>
      <w:r>
        <w:t xml:space="preserve">The Landing Page</w:t>
      </w:r>
    </w:p>
    <w:p>
      <w:pPr>
        <w:spacing w:after="120"/>
      </w:pPr>
      <w:r>
        <w:rPr>
          <w:sz w:val="22"/>
          <w:szCs w:val="22"/>
        </w:rPr>
        <w:t xml:space="preserve">When you first visit the app, you will see a landing page with a hero section, feature overview, step-by-step guide, and a Standard vs Pro comparison table. Click "Open Calculator" or the "Calculator" link in the navigation bar to begin.</w:t>
      </w:r>
    </w:p>
    <w:p>
      <w:pPr>
        <w:spacing w:after="200"/>
      </w:pPr>
    </w:p>
    <w:p>
      <w:pPr>
        <w:pStyle w:val="Heading2"/>
      </w:pPr>
      <w:r>
        <w:t xml:space="preserve">Step 1: Property and Portfolio</w:t>
      </w:r>
    </w:p>
    <w:p>
      <w:pPr>
        <w:spacing w:after="120"/>
      </w:pPr>
      <w:r>
        <w:rPr>
          <w:sz w:val="22"/>
          <w:szCs w:val="22"/>
        </w:rPr>
        <w:t xml:space="preserve">Enter your property details:</w:t>
      </w:r>
    </w:p>
    <w:p>
      <w:pPr>
        <w:pStyle w:val="ListParagraph"/>
        <w:numPr>
          <w:ilvl w:val="0"/>
          <w:numId w:val="2"/>
        </w:numPr>
        <w:spacing w:after="80"/>
      </w:pPr>
      <w:r>
        <w:rPr>
          <w:sz w:val="22"/>
          <w:szCs w:val="22"/>
        </w:rPr>
        <w:t xml:space="preserve">Property Type: Single family, condo, multi-family, or cabin/vacation home</w:t>
      </w:r>
    </w:p>
    <w:p>
      <w:pPr>
        <w:pStyle w:val="ListParagraph"/>
        <w:numPr>
          <w:ilvl w:val="0"/>
          <w:numId w:val="2"/>
        </w:numPr>
        <w:spacing w:after="80"/>
      </w:pPr>
      <w:r>
        <w:rPr>
          <w:sz w:val="22"/>
          <w:szCs w:val="22"/>
        </w:rPr>
        <w:t xml:space="preserve">Location: City and state (e.g., Lincoln, NH)</w:t>
      </w:r>
    </w:p>
    <w:p>
      <w:pPr>
        <w:pStyle w:val="ListParagraph"/>
        <w:numPr>
          <w:ilvl w:val="0"/>
          <w:numId w:val="2"/>
        </w:numPr>
        <w:spacing w:after="80"/>
      </w:pPr>
      <w:r>
        <w:rPr>
          <w:sz w:val="22"/>
          <w:szCs w:val="22"/>
        </w:rPr>
        <w:t xml:space="preserve">Purchase Price: What you originally paid</w:t>
      </w:r>
    </w:p>
    <w:p>
      <w:pPr>
        <w:pStyle w:val="ListParagraph"/>
        <w:numPr>
          <w:ilvl w:val="0"/>
          <w:numId w:val="2"/>
        </w:numPr>
        <w:spacing w:after="80"/>
      </w:pPr>
      <w:r>
        <w:rPr>
          <w:sz w:val="22"/>
          <w:szCs w:val="22"/>
        </w:rPr>
        <w:t xml:space="preserve">Current Market Value: Today's estimated value (Zillow, Redfin, or appraisal)</w:t>
      </w:r>
    </w:p>
    <w:p>
      <w:pPr>
        <w:pStyle w:val="ListParagraph"/>
        <w:numPr>
          <w:ilvl w:val="0"/>
          <w:numId w:val="2"/>
        </w:numPr>
        <w:spacing w:after="80"/>
      </w:pPr>
      <w:r>
        <w:rPr>
          <w:sz w:val="22"/>
          <w:szCs w:val="22"/>
        </w:rPr>
        <w:t xml:space="preserve">Years Owned: Affects depreciation recapture calculations</w:t>
      </w:r>
    </w:p>
    <w:p>
      <w:pPr>
        <w:pStyle w:val="ListParagraph"/>
        <w:numPr>
          <w:ilvl w:val="0"/>
          <w:numId w:val="2"/>
        </w:numPr>
        <w:spacing w:after="80"/>
      </w:pPr>
      <w:r>
        <w:rPr>
          <w:sz w:val="22"/>
          <w:szCs w:val="22"/>
        </w:rPr>
        <w:t xml:space="preserve">Annual Gross Rent: Total rental income before expenses</w:t>
      </w:r>
    </w:p>
    <w:p>
      <w:pPr>
        <w:pStyle w:val="ListParagraph"/>
        <w:numPr>
          <w:ilvl w:val="0"/>
          <w:numId w:val="2"/>
        </w:numPr>
        <w:spacing w:after="80"/>
      </w:pPr>
      <w:r>
        <w:rPr>
          <w:sz w:val="22"/>
          <w:szCs w:val="22"/>
        </w:rPr>
        <w:t xml:space="preserve">Management Style: Self-managed, property manager (20-25%), or hybrid</w:t>
      </w:r>
    </w:p>
    <w:p>
      <w:pPr>
        <w:spacing w:after="200"/>
      </w:pPr>
    </w:p>
    <w:p>
      <w:pPr>
        <w:pStyle w:val="Heading2"/>
      </w:pPr>
      <w:r>
        <w:t xml:space="preserve">Step 2: Financial Snapshot</w:t>
      </w:r>
    </w:p>
    <w:p>
      <w:pPr>
        <w:spacing w:after="120"/>
      </w:pPr>
      <w:r>
        <w:rPr>
          <w:sz w:val="22"/>
          <w:szCs w:val="22"/>
        </w:rPr>
        <w:t xml:space="preserve">Provide financial details:</w:t>
      </w:r>
    </w:p>
    <w:p>
      <w:pPr>
        <w:pStyle w:val="ListParagraph"/>
        <w:numPr>
          <w:ilvl w:val="0"/>
          <w:numId w:val="2"/>
        </w:numPr>
        <w:spacing w:after="80"/>
      </w:pPr>
      <w:r>
        <w:rPr>
          <w:sz w:val="22"/>
          <w:szCs w:val="22"/>
        </w:rPr>
        <w:t xml:space="preserve">Annual Operating Expenses: Insurance, taxes, utilities, cleaning, repairs, PM fees</w:t>
      </w:r>
    </w:p>
    <w:p>
      <w:pPr>
        <w:pStyle w:val="ListParagraph"/>
        <w:numPr>
          <w:ilvl w:val="0"/>
          <w:numId w:val="2"/>
        </w:numPr>
        <w:spacing w:after="80"/>
      </w:pPr>
      <w:r>
        <w:rPr>
          <w:sz w:val="22"/>
          <w:szCs w:val="22"/>
        </w:rPr>
        <w:t xml:space="preserve">Vacancy Rate: Percentage of year the property sits empty (STR average 25-40%)</w:t>
      </w:r>
    </w:p>
    <w:p>
      <w:pPr>
        <w:pStyle w:val="ListParagraph"/>
        <w:numPr>
          <w:ilvl w:val="0"/>
          <w:numId w:val="2"/>
        </w:numPr>
        <w:spacing w:after="80"/>
      </w:pPr>
      <w:r>
        <w:rPr>
          <w:sz w:val="22"/>
          <w:szCs w:val="22"/>
        </w:rPr>
        <w:t xml:space="preserve">Mortgage Balance, Interest Rate, and Years Remaining</w:t>
      </w:r>
    </w:p>
    <w:p>
      <w:pPr>
        <w:pStyle w:val="ListParagraph"/>
        <w:numPr>
          <w:ilvl w:val="0"/>
          <w:numId w:val="2"/>
        </w:numPr>
        <w:spacing w:after="80"/>
      </w:pPr>
      <w:r>
        <w:rPr>
          <w:sz w:val="22"/>
          <w:szCs w:val="22"/>
        </w:rPr>
        <w:t xml:space="preserve">Property Condition: Roof age, HVAC age, and water heater age (triggers maintenance cost projections)</w:t>
      </w:r>
    </w:p>
    <w:p>
      <w:pPr>
        <w:pStyle w:val="ListParagraph"/>
        <w:numPr>
          <w:ilvl w:val="0"/>
          <w:numId w:val="2"/>
        </w:numPr>
        <w:spacing w:after="80"/>
      </w:pPr>
      <w:r>
        <w:rPr>
          <w:sz w:val="22"/>
          <w:szCs w:val="22"/>
        </w:rPr>
        <w:t xml:space="preserve">Federal Tax Bracket: Used for depreciation tax savings calculations</w:t>
      </w:r>
    </w:p>
    <w:p>
      <w:pPr>
        <w:spacing w:after="200"/>
      </w:pPr>
    </w:p>
    <w:p>
      <w:pPr>
        <w:pStyle w:val="Heading2"/>
      </w:pPr>
      <w:r>
        <w:t xml:space="preserve">Step 3: Market Assumptions</w:t>
      </w:r>
    </w:p>
    <w:p>
      <w:pPr>
        <w:pStyle w:val="ListParagraph"/>
        <w:numPr>
          <w:ilvl w:val="0"/>
          <w:numId w:val="2"/>
        </w:numPr>
        <w:spacing w:after="80"/>
      </w:pPr>
      <w:r>
        <w:rPr>
          <w:sz w:val="22"/>
          <w:szCs w:val="22"/>
        </w:rPr>
        <w:t xml:space="preserve">Annual Appreciation: Expected property value growth (US average 3-4%)</w:t>
      </w:r>
    </w:p>
    <w:p>
      <w:pPr>
        <w:pStyle w:val="ListParagraph"/>
        <w:numPr>
          <w:ilvl w:val="0"/>
          <w:numId w:val="2"/>
        </w:numPr>
        <w:spacing w:after="80"/>
      </w:pPr>
      <w:r>
        <w:rPr>
          <w:sz w:val="22"/>
          <w:szCs w:val="22"/>
        </w:rPr>
        <w:t xml:space="preserve">Cap Rate: Net operating income divided by property value (optional)</w:t>
      </w:r>
    </w:p>
    <w:p>
      <w:pPr>
        <w:pStyle w:val="ListParagraph"/>
        <w:numPr>
          <w:ilvl w:val="0"/>
          <w:numId w:val="2"/>
        </w:numPr>
        <w:spacing w:after="80"/>
      </w:pPr>
      <w:r>
        <w:rPr>
          <w:sz w:val="22"/>
          <w:szCs w:val="22"/>
        </w:rPr>
        <w:t xml:space="preserve">Alternative Investment: Where you would invest if you sold (stocks, bonds, etc.)</w:t>
      </w:r>
    </w:p>
    <w:p>
      <w:pPr>
        <w:pStyle w:val="ListParagraph"/>
        <w:numPr>
          <w:ilvl w:val="0"/>
          <w:numId w:val="2"/>
        </w:numPr>
        <w:spacing w:after="80"/>
      </w:pPr>
      <w:r>
        <w:rPr>
          <w:sz w:val="22"/>
          <w:szCs w:val="22"/>
        </w:rPr>
        <w:t xml:space="preserve">Expected Return: Annual return on alternative investment</w:t>
      </w:r>
    </w:p>
    <w:p>
      <w:pPr>
        <w:pStyle w:val="ListParagraph"/>
        <w:numPr>
          <w:ilvl w:val="0"/>
          <w:numId w:val="2"/>
        </w:numPr>
        <w:spacing w:after="80"/>
      </w:pPr>
      <w:r>
        <w:rPr>
          <w:sz w:val="22"/>
          <w:szCs w:val="22"/>
        </w:rPr>
        <w:t xml:space="preserve">Exit Strategy: Hold, sell, or 1031 exchange</w:t>
      </w:r>
    </w:p>
    <w:p>
      <w:pPr>
        <w:spacing w:after="120"/>
      </w:pPr>
      <w:r>
        <w:rPr>
          <w:sz w:val="22"/>
          <w:szCs w:val="22"/>
        </w:rPr>
        <w:t xml:space="preserve">If you select 1031 Exchange, additional fields appear for the replacement property value, expected rent, and expected expenses.</w:t>
      </w:r>
    </w:p>
    <w:p>
      <w:pPr>
        <w:spacing w:after="200"/>
      </w:pPr>
    </w:p>
    <w:p>
      <w:pPr>
        <w:pStyle w:val="Heading2"/>
      </w:pPr>
      <w:r>
        <w:t xml:space="preserve">Step 4: Review and Analyze</w:t>
      </w:r>
    </w:p>
    <w:p>
      <w:pPr>
        <w:spacing w:after="120"/>
      </w:pPr>
      <w:r>
        <w:rPr>
          <w:sz w:val="22"/>
          <w:szCs w:val="22"/>
        </w:rPr>
        <w:t xml:space="preserve">Review all inputs and click "Analyze" to generate your dashboard.</w:t>
      </w:r>
    </w:p>
    <w:p>
      <w:pPr>
        <w:spacing w:after="200"/>
      </w:pPr>
    </w:p>
    <w:p>
      <w:pPr>
        <w:pStyle w:val="Heading2"/>
      </w:pPr>
      <w:r>
        <w:t xml:space="preserve">The Dashboard</w:t>
      </w:r>
    </w:p>
    <w:p>
      <w:pPr>
        <w:pStyle w:val="Heading3"/>
      </w:pPr>
      <w:r>
        <w:t xml:space="preserve">Assumptions Bar</w:t>
      </w:r>
    </w:p>
    <w:p>
      <w:pPr>
        <w:spacing w:after="120"/>
      </w:pPr>
      <w:r>
        <w:rPr>
          <w:sz w:val="22"/>
          <w:szCs w:val="22"/>
        </w:rPr>
        <w:t xml:space="preserve">At the top of the dashboard, you will find the Assumptions Bar. It opens by default showing four sliders: Vacancy Rate (0-100%), Appreciation (-5% to 15%), Alternative Return (0-15%), and Hold Period (1-30 years). Adjust any slider and all charts, metrics, and recommendations update in real time. Click "Collapse" to minimize it to a summary line.</w:t>
      </w:r>
    </w:p>
    <w:p>
      <w:pPr>
        <w:spacing w:after="200"/>
      </w:pPr>
    </w:p>
    <w:p>
      <w:pPr>
        <w:pStyle w:val="Heading3"/>
      </w:pPr>
      <w:r>
        <w:t xml:space="preserve">Overview Tab</w:t>
      </w:r>
    </w:p>
    <w:p>
      <w:pPr>
        <w:pStyle w:val="ListParagraph"/>
        <w:numPr>
          <w:ilvl w:val="0"/>
          <w:numId w:val="2"/>
        </w:numPr>
        <w:spacing w:after="80"/>
      </w:pPr>
      <w:r>
        <w:rPr>
          <w:sz w:val="22"/>
          <w:szCs w:val="22"/>
        </w:rPr>
        <w:t xml:space="preserve">Metric Cards: Hold Total Wealth, Sell and Invest Value, 1031 Exchange (if applicable), and Recommendation</w:t>
      </w:r>
    </w:p>
    <w:p>
      <w:pPr>
        <w:pStyle w:val="ListParagraph"/>
        <w:numPr>
          <w:ilvl w:val="0"/>
          <w:numId w:val="2"/>
        </w:numPr>
        <w:spacing w:after="80"/>
      </w:pPr>
      <w:r>
        <w:rPr>
          <w:sz w:val="22"/>
          <w:szCs w:val="22"/>
        </w:rPr>
        <w:t xml:space="preserve">Cumulative Wealth Area Chart: Shows all scenarios over your hold period</w:t>
      </w:r>
    </w:p>
    <w:p>
      <w:pPr>
        <w:pStyle w:val="ListParagraph"/>
        <w:numPr>
          <w:ilvl w:val="0"/>
          <w:numId w:val="2"/>
        </w:numPr>
        <w:spacing w:after="80"/>
      </w:pPr>
      <w:r>
        <w:rPr>
          <w:sz w:val="22"/>
          <w:szCs w:val="22"/>
        </w:rPr>
        <w:t xml:space="preserve">Scenario Radar: Compares scenarios across 5 dimensions (wealth, cash flow, tax efficiency, liquidity, appreciation)</w:t>
      </w:r>
    </w:p>
    <w:p>
      <w:pPr>
        <w:spacing w:after="120"/>
      </w:pPr>
      <w:r>
        <w:rPr>
          <w:sz w:val="22"/>
          <w:szCs w:val="22"/>
        </w:rPr>
        <w:t xml:space="preserve">Hover over any chart element for detailed tooltips. The (?) icons next to metric labels explain what each number means.</w:t>
      </w:r>
    </w:p>
    <w:p>
      <w:pPr>
        <w:spacing w:after="200"/>
      </w:pPr>
    </w:p>
    <w:p>
      <w:pPr>
        <w:pStyle w:val="Heading3"/>
      </w:pPr>
      <w:r>
        <w:t xml:space="preserve">Analysis Tab</w:t>
      </w:r>
    </w:p>
    <w:p>
      <w:pPr>
        <w:pStyle w:val="ListParagraph"/>
        <w:numPr>
          <w:ilvl w:val="0"/>
          <w:numId w:val="2"/>
        </w:numPr>
        <w:spacing w:after="80"/>
      </w:pPr>
      <w:r>
        <w:rPr>
          <w:sz w:val="22"/>
          <w:szCs w:val="22"/>
        </w:rPr>
        <w:t xml:space="preserve">Cash Flow and Net Income: Composed chart with revenue bars, expense bars, debt service bars, and a net income line overlay</w:t>
      </w:r>
    </w:p>
    <w:p>
      <w:pPr>
        <w:pStyle w:val="ListParagraph"/>
        <w:numPr>
          <w:ilvl w:val="0"/>
          <w:numId w:val="2"/>
        </w:numPr>
        <w:spacing w:after="80"/>
      </w:pPr>
      <w:r>
        <w:rPr>
          <w:sz w:val="22"/>
          <w:szCs w:val="22"/>
        </w:rPr>
        <w:t xml:space="preserve">Equity Growth: Stacked area chart showing property equity plus cumulative cash flow</w:t>
      </w:r>
    </w:p>
    <w:p>
      <w:pPr>
        <w:pStyle w:val="ListParagraph"/>
        <w:numPr>
          <w:ilvl w:val="0"/>
          <w:numId w:val="2"/>
        </w:numPr>
        <w:spacing w:after="80"/>
      </w:pPr>
      <w:r>
        <w:rPr>
          <w:sz w:val="22"/>
          <w:szCs w:val="22"/>
        </w:rPr>
        <w:t xml:space="preserve">Year 1 Expense Pie Chart: Operating costs, maintenance, and debt service breakdown</w:t>
      </w:r>
    </w:p>
    <w:p>
      <w:pPr>
        <w:pStyle w:val="ListParagraph"/>
        <w:numPr>
          <w:ilvl w:val="0"/>
          <w:numId w:val="2"/>
        </w:numPr>
        <w:spacing w:after="80"/>
      </w:pPr>
      <w:r>
        <w:rPr>
          <w:sz w:val="22"/>
          <w:szCs w:val="22"/>
        </w:rPr>
        <w:t xml:space="preserve">Sale Proceeds Waterfall: Gross equity minus selling costs minus capital gains equals net to invest</w:t>
      </w:r>
    </w:p>
    <w:p>
      <w:pPr>
        <w:pStyle w:val="ListParagraph"/>
        <w:numPr>
          <w:ilvl w:val="0"/>
          <w:numId w:val="2"/>
        </w:numPr>
        <w:spacing w:after="80"/>
      </w:pPr>
      <w:r>
        <w:rPr>
          <w:sz w:val="22"/>
          <w:szCs w:val="22"/>
        </w:rPr>
        <w:t xml:space="preserve">Year-by-Year Table: Full comparison with property value, equity, cash flow, hold total, and sell value for every year</w:t>
      </w:r>
    </w:p>
    <w:p>
      <w:pPr>
        <w:spacing w:after="200"/>
      </w:pPr>
    </w:p>
    <w:p>
      <w:pPr>
        <w:pStyle w:val="Heading3"/>
      </w:pPr>
      <w:r>
        <w:t xml:space="preserve">Tooltips</w:t>
      </w:r>
    </w:p>
    <w:p>
      <w:pPr>
        <w:spacing w:after="120"/>
      </w:pPr>
      <w:r>
        <w:rPr>
          <w:sz w:val="22"/>
          <w:szCs w:val="22"/>
        </w:rPr>
        <w:t xml:space="preserve">Look for the (?) icon next to labels throughout the app. Hover or tap to see contextual help. Tooltips appear on metric cards, slider labels, form field labels, and section headers.</w:t>
      </w:r>
    </w:p>
    <w:p>
      <w:pPr>
        <w:spacing w:after="200"/>
      </w:pPr>
    </w:p>
    <w:p>
      <w:pPr>
        <w:pStyle w:val="Heading2"/>
      </w:pPr>
      <w:r>
        <w:t xml:space="preserve">Dark and Light Mode</w:t>
      </w:r>
    </w:p>
    <w:p>
      <w:pPr>
        <w:spacing w:after="120"/>
      </w:pPr>
      <w:r>
        <w:rPr>
          <w:sz w:val="22"/>
          <w:szCs w:val="22"/>
        </w:rPr>
        <w:t xml:space="preserve">Click the sun/moon icon in the top-right corner of the navigation bar to toggle between dark and light themes. Your preference is saved in your browser.</w:t>
      </w:r>
    </w:p>
    <w:p>
      <w:pPr>
        <w:spacing w:after="200"/>
      </w:pPr>
    </w:p>
    <w:p>
      <w:pPr>
        <w:pStyle w:val="Heading2"/>
      </w:pPr>
      <w:r>
        <w:t xml:space="preserve">Standard vs Pro</w:t>
      </w:r>
    </w:p>
    <w:p>
      <w:pPr>
        <w:spacing w:after="120"/>
      </w:pPr>
      <w:r>
        <w:rPr>
          <w:sz w:val="22"/>
          <w:szCs w:val="22"/>
        </w:rPr>
        <w:t xml:space="preserve">Standard features include the full calculator, 3-scenario analysis, sensitivity sliders, 6 interactive charts, and the year-by-year table. No account required.</w:t>
      </w:r>
    </w:p>
    <w:p>
      <w:pPr>
        <w:spacing w:after="120"/>
      </w:pPr>
      <w:r>
        <w:rPr>
          <w:sz w:val="22"/>
          <w:szCs w:val="22"/>
        </w:rPr>
        <w:t xml:space="preserve">Pro features (free for VHG clients) include:</w:t>
      </w:r>
    </w:p>
    <w:p>
      <w:pPr>
        <w:pStyle w:val="ListParagraph"/>
        <w:numPr>
          <w:ilvl w:val="0"/>
          <w:numId w:val="2"/>
        </w:numPr>
        <w:spacing w:after="80"/>
      </w:pPr>
      <w:r>
        <w:rPr>
          <w:sz w:val="22"/>
          <w:szCs w:val="22"/>
        </w:rPr>
        <w:t xml:space="preserve">Tax Benefits Calculator: Straight-line depreciation vs. cost segregation comparison</w:t>
      </w:r>
    </w:p>
    <w:p>
      <w:pPr>
        <w:pStyle w:val="ListParagraph"/>
        <w:numPr>
          <w:ilvl w:val="0"/>
          <w:numId w:val="2"/>
        </w:numPr>
        <w:spacing w:after="80"/>
      </w:pPr>
      <w:r>
        <w:rPr>
          <w:sz w:val="22"/>
          <w:szCs w:val="22"/>
        </w:rPr>
        <w:t xml:space="preserve">Mortgage Scenario Comparison: Side-by-side loan analysis with 3 charts</w:t>
      </w:r>
    </w:p>
    <w:p>
      <w:pPr>
        <w:pStyle w:val="ListParagraph"/>
        <w:numPr>
          <w:ilvl w:val="0"/>
          <w:numId w:val="2"/>
        </w:numPr>
        <w:spacing w:after="80"/>
      </w:pPr>
      <w:r>
        <w:rPr>
          <w:sz w:val="22"/>
          <w:szCs w:val="22"/>
        </w:rPr>
        <w:t xml:space="preserve">What-If Snapshots: Save and load slider configurations to compare scenarios</w:t>
      </w:r>
    </w:p>
    <w:p>
      <w:pPr>
        <w:pStyle w:val="ListParagraph"/>
        <w:numPr>
          <w:ilvl w:val="0"/>
          <w:numId w:val="2"/>
        </w:numPr>
        <w:spacing w:after="80"/>
      </w:pPr>
      <w:r>
        <w:rPr>
          <w:sz w:val="22"/>
          <w:szCs w:val="22"/>
        </w:rPr>
        <w:t xml:space="preserve">AI Investment Summary: AI-powered analysis with 6 presets, tone/length controls</w:t>
      </w:r>
    </w:p>
    <w:p>
      <w:pPr>
        <w:spacing w:after="120"/>
      </w:pPr>
      <w:r>
        <w:rPr>
          <w:sz w:val="22"/>
          <w:szCs w:val="22"/>
        </w:rPr>
        <w:t xml:space="preserve">To unlock Pro, click the "PRO" button and enter your name and email.</w:t>
      </w:r>
    </w:p>
    <w:p>
      <w:pPr>
        <w:spacing w:after="200"/>
      </w:pPr>
    </w:p>
    <w:p>
      <w:pPr>
        <w:pStyle w:val="Heading2"/>
      </w:pPr>
      <w:r>
        <w:t xml:space="preserve">Pro: Tax Benefits</w:t>
      </w:r>
    </w:p>
    <w:p>
      <w:pPr>
        <w:spacing w:after="120"/>
      </w:pPr>
      <w:r>
        <w:rPr>
          <w:sz w:val="22"/>
          <w:szCs w:val="22"/>
        </w:rPr>
        <w:t xml:space="preserve">Compares straight-line depreciation (27.5-year schedule) against a cost segregation study (accelerated year-1 bonus). Shows annual tax savings at your bracket with a bar chart.</w:t>
      </w:r>
    </w:p>
    <w:p>
      <w:pPr>
        <w:spacing w:after="200"/>
      </w:pPr>
    </w:p>
    <w:p>
      <w:pPr>
        <w:pStyle w:val="Heading2"/>
      </w:pPr>
      <w:r>
        <w:t xml:space="preserve">Pro: Mortgage Comparison</w:t>
      </w:r>
    </w:p>
    <w:p>
      <w:pPr>
        <w:spacing w:after="120"/>
      </w:pPr>
      <w:r>
        <w:rPr>
          <w:sz w:val="22"/>
          <w:szCs w:val="22"/>
        </w:rPr>
        <w:t xml:space="preserve">Enter two loan scenarios (e.g., current mortgage vs. refinance) and see:</w:t>
      </w:r>
    </w:p>
    <w:p>
      <w:pPr>
        <w:pStyle w:val="ListParagraph"/>
        <w:numPr>
          <w:ilvl w:val="0"/>
          <w:numId w:val="2"/>
        </w:numPr>
        <w:spacing w:after="80"/>
      </w:pPr>
      <w:r>
        <w:rPr>
          <w:sz w:val="22"/>
          <w:szCs w:val="22"/>
        </w:rPr>
        <w:t xml:space="preserve">Remaining Balance Over Time: Area chart showing payoff curves</w:t>
      </w:r>
    </w:p>
    <w:p>
      <w:pPr>
        <w:pStyle w:val="ListParagraph"/>
        <w:numPr>
          <w:ilvl w:val="0"/>
          <w:numId w:val="2"/>
        </w:numPr>
        <w:spacing w:after="80"/>
      </w:pPr>
      <w:r>
        <w:rPr>
          <w:sz w:val="22"/>
          <w:szCs w:val="22"/>
        </w:rPr>
        <w:t xml:space="preserve">Annual Principal vs Interest: Stacked bar chart for Scenario 1</w:t>
      </w:r>
    </w:p>
    <w:p>
      <w:pPr>
        <w:pStyle w:val="ListParagraph"/>
        <w:numPr>
          <w:ilvl w:val="0"/>
          <w:numId w:val="2"/>
        </w:numPr>
        <w:spacing w:after="80"/>
      </w:pPr>
      <w:r>
        <w:rPr>
          <w:sz w:val="22"/>
          <w:szCs w:val="22"/>
        </w:rPr>
        <w:t xml:space="preserve">Payment Comparison: Horizontal bar chart comparing monthly payments and total interest</w:t>
      </w:r>
    </w:p>
    <w:p>
      <w:pPr>
        <w:pStyle w:val="ListParagraph"/>
        <w:numPr>
          <w:ilvl w:val="0"/>
          <w:numId w:val="2"/>
        </w:numPr>
        <w:spacing w:after="80"/>
      </w:pPr>
      <w:r>
        <w:rPr>
          <w:sz w:val="22"/>
          <w:szCs w:val="22"/>
        </w:rPr>
        <w:t xml:space="preserve">Savings Summary: Dollar difference in monthly payment and total interest</w:t>
      </w:r>
    </w:p>
    <w:p>
      <w:pPr>
        <w:spacing w:after="200"/>
      </w:pPr>
    </w:p>
    <w:p>
      <w:pPr>
        <w:pStyle w:val="Heading2"/>
      </w:pPr>
      <w:r>
        <w:t xml:space="preserve">Pro: What-If Snapshots</w:t>
      </w:r>
    </w:p>
    <w:p>
      <w:pPr>
        <w:spacing w:after="120"/>
      </w:pPr>
      <w:r>
        <w:rPr>
          <w:sz w:val="22"/>
          <w:szCs w:val="22"/>
        </w:rPr>
        <w:t xml:space="preserve">Adjust sliders, name the scenario (e.g., "Conservative" or "If Market Crashes"), and click Save. Each snapshot shows the Hold and Sell totals inline. Click "Load" to restore any snapshot.</w:t>
      </w:r>
    </w:p>
    <w:p>
      <w:pPr>
        <w:spacing w:after="200"/>
      </w:pPr>
    </w:p>
    <w:p>
      <w:pPr>
        <w:pStyle w:val="Heading2"/>
      </w:pPr>
      <w:r>
        <w:t xml:space="preserve">Pro: AI Summary</w:t>
      </w:r>
    </w:p>
    <w:p>
      <w:pPr>
        <w:spacing w:after="120"/>
      </w:pPr>
      <w:r>
        <w:rPr>
          <w:sz w:val="22"/>
          <w:szCs w:val="22"/>
        </w:rPr>
        <w:t xml:space="preserve">Choose from 6 presets:</w:t>
      </w:r>
    </w:p>
    <w:p>
      <w:pPr>
        <w:pStyle w:val="ListParagraph"/>
        <w:numPr>
          <w:ilvl w:val="0"/>
          <w:numId w:val="2"/>
        </w:numPr>
        <w:spacing w:after="80"/>
      </w:pPr>
      <w:r>
        <w:rPr>
          <w:sz w:val="22"/>
          <w:szCs w:val="22"/>
        </w:rPr>
        <w:t xml:space="preserve">Investor Brief: Numbers-heavy, bottom-line focused</w:t>
      </w:r>
    </w:p>
    <w:p>
      <w:pPr>
        <w:pStyle w:val="ListParagraph"/>
        <w:numPr>
          <w:ilvl w:val="0"/>
          <w:numId w:val="2"/>
        </w:numPr>
        <w:spacing w:after="80"/>
      </w:pPr>
      <w:r>
        <w:rPr>
          <w:sz w:val="22"/>
          <w:szCs w:val="22"/>
        </w:rPr>
        <w:t xml:space="preserve">Partner Explainer: Plain English for a spouse or partner</w:t>
      </w:r>
    </w:p>
    <w:p>
      <w:pPr>
        <w:pStyle w:val="ListParagraph"/>
        <w:numPr>
          <w:ilvl w:val="0"/>
          <w:numId w:val="2"/>
        </w:numPr>
        <w:spacing w:after="80"/>
      </w:pPr>
      <w:r>
        <w:rPr>
          <w:sz w:val="22"/>
          <w:szCs w:val="22"/>
        </w:rPr>
        <w:t xml:space="preserve">CPA Memo: Tax-focused for your accountant</w:t>
      </w:r>
    </w:p>
    <w:p>
      <w:pPr>
        <w:pStyle w:val="ListParagraph"/>
        <w:numPr>
          <w:ilvl w:val="0"/>
          <w:numId w:val="2"/>
        </w:numPr>
        <w:spacing w:after="80"/>
      </w:pPr>
      <w:r>
        <w:rPr>
          <w:sz w:val="22"/>
          <w:szCs w:val="22"/>
        </w:rPr>
        <w:t xml:space="preserve">Risk Assessment: Stress-tests and vulnerabilities</w:t>
      </w:r>
    </w:p>
    <w:p>
      <w:pPr>
        <w:pStyle w:val="ListParagraph"/>
        <w:numPr>
          <w:ilvl w:val="0"/>
          <w:numId w:val="2"/>
        </w:numPr>
        <w:spacing w:after="80"/>
      </w:pPr>
      <w:r>
        <w:rPr>
          <w:sz w:val="22"/>
          <w:szCs w:val="22"/>
        </w:rPr>
        <w:t xml:space="preserve">Client Market Letter: Polished newsletter-style analysis</w:t>
      </w:r>
    </w:p>
    <w:p>
      <w:pPr>
        <w:pStyle w:val="ListParagraph"/>
        <w:numPr>
          <w:ilvl w:val="0"/>
          <w:numId w:val="2"/>
        </w:numPr>
        <w:spacing w:after="80"/>
      </w:pPr>
      <w:r>
        <w:rPr>
          <w:sz w:val="22"/>
          <w:szCs w:val="22"/>
        </w:rPr>
        <w:t xml:space="preserve">Quick Take: One paragraph, fastest read</w:t>
      </w:r>
    </w:p>
    <w:p>
      <w:pPr>
        <w:spacing w:after="120"/>
      </w:pPr>
      <w:r>
        <w:rPr>
          <w:sz w:val="22"/>
          <w:szCs w:val="22"/>
        </w:rPr>
        <w:t xml:space="preserve">Then select Tone (Professional, Conversational, Technical, Encouraging), Length (Short, Medium, Detailed), and AI Model (Claude or Gemini). Click "Generate Summary" to create the analysis. Use "Regenerate" for a fresh take or "Copy" to paste elsewhere.</w:t>
      </w:r>
    </w:p>
    <w:p>
      <w:pPr>
        <w:spacing w:after="200"/>
      </w:pPr>
    </w:p>
    <w:p>
      <w:pPr>
        <w:pStyle w:val="Heading2"/>
      </w:pPr>
      <w:r>
        <w:t xml:space="preserve">How It Works Tab</w:t>
      </w:r>
    </w:p>
    <w:p>
      <w:pPr>
        <w:spacing w:after="120"/>
      </w:pPr>
      <w:r>
        <w:rPr>
          <w:sz w:val="22"/>
          <w:szCs w:val="22"/>
        </w:rPr>
        <w:t xml:space="preserve">The last tab in the dashboard provides a 6-step walkthrough and a glossary of all key metrics used in the tool.</w:t>
      </w:r>
    </w:p>
    <w:p>
      <w:pPr>
        <w:spacing w:after="200"/>
      </w:pPr>
    </w:p>
    <w:p>
      <w:pPr>
        <w:pStyle w:val="Heading2"/>
      </w:pPr>
      <w:r>
        <w:t xml:space="preserve">Disclaimer</w:t>
      </w:r>
    </w:p>
    <w:p>
      <w:pPr>
        <w:spacing w:after="120"/>
        <w:rPr>
          <w:color w:val="94A3B8"/>
          <w:sz w:val="20"/>
          <w:szCs w:val="20"/>
        </w:rPr>
      </w:pPr>
      <w:r>
        <w:rPr>
          <w:color w:val="94A3B8"/>
          <w:sz w:val="20"/>
          <w:szCs w:val="20"/>
        </w:rPr>
        <w:t xml:space="preserve">This tool does not constitute financial or investment advice. Projections are estimates based on user-provided inputs. Consult a qualified real estate professional before making investment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7A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9A78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2026-04-04T19:51:11.931Z</dcterms:created>
  <dcterms:modified xsi:type="dcterms:W3CDTF">2026-04-04T19:51:11.933Z</dcterms:modified>
</cp:coreProperties>
</file>

<file path=docProps/custom.xml><?xml version="1.0" encoding="utf-8"?>
<Properties xmlns="http://schemas.openxmlformats.org/officeDocument/2006/custom-properties" xmlns:vt="http://schemas.openxmlformats.org/officeDocument/2006/docPropsVTypes"/>
</file>