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i w:val="1"/>
          <w:iCs w:val="1"/>
          <w:color w:val="999999"/>
          <w:sz w:val="18"/>
          <w:szCs w:val="18"/>
          <w:rtl w:val="0"/>
        </w:rPr>
        <w:t xml:space="preserve">CONFIDENTIAL — WORKING DOCUMENT</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Governance Gap Report</w:t>
      </w:r>
    </w:p>
    <w:p w:rsidR="00000000" w:rsidDel="00000000" w:rsidP="00000000" w:rsidRDefault="00000000" w:rsidRPr="00000000" w14:paraId="00000003">
      <w:pPr>
        <w:spacing w:after="80" w:lineRule="auto"/>
        <w:rPr/>
      </w:pPr>
      <w:r w:rsidDel="00000000" w:rsidR="00000000" w:rsidRPr="00000000">
        <w:rPr>
          <w:rFonts w:ascii="Arial" w:cs="Arial" w:eastAsia="Arial" w:hAnsi="Arial"/>
          <w:color w:val="555555"/>
          <w:sz w:val="24"/>
          <w:szCs w:val="24"/>
          <w:rtl w:val="0"/>
        </w:rPr>
        <w:t xml:space="preserve">Expense Reimbursement Management Application</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color w:val="555555"/>
          <w:sz w:val="20"/>
          <w:szCs w:val="20"/>
          <w:rtl w:val="0"/>
        </w:rPr>
        <w:t xml:space="preserve">Source: development.ds export (03-Apr-2026) vs. Build Spec v2, GL/King IV/SARS Compliance Reference, King IV Report (IoDSA 2016)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Arial" w:cs="Arial" w:eastAsia="Arial" w:hAnsi="Arial"/>
          <w:color w:val="555555"/>
          <w:sz w:val="20"/>
          <w:szCs w:val="20"/>
          <w:rtl w:val="0"/>
        </w:rPr>
        <w:t xml:space="preserve">Analyst: Holger Gevers  |  Date: 06-Apr-2026  |  Classification: Working Document</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1. Executive Summary</w:t>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0"/>
          <w:szCs w:val="20"/>
          <w:rtl w:val="0"/>
        </w:rPr>
        <w:t xml:space="preserve">This report identifies 16 governance gaps between the current application code (development.ds exported 03-Apr-2026) and the requirements established by the Build Spec v2, the GL/King IV/SARS Compliance Reference, and the King IV Report on Corporate Governance (IoDSA, 2016). Additional gaps are mapped to international standards (COSO Internal Control Framework, ISO 37001 Anti-Bribery Management) where relevant.</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Arial" w:cs="Arial" w:eastAsia="Arial" w:hAnsi="Arial"/>
          <w:sz w:val="20"/>
          <w:szCs w:val="20"/>
          <w:rtl w:val="0"/>
        </w:rPr>
        <w:t xml:space="preserve">Severity distribution: 4 CRITICAL, 5 HIGH, 5 MEDIUM, 2 LOW. The four critical gaps all relate to the approval process mechanics — the HoD approval stage does not exist in the codebase, the LM rejection path has no audit trail, the LM approval trigger condition is structurally incorrect, and the Line Manager role can manually override claim status. These must be resolved before any demonstration or assessment review.</w:t>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Severity Key</w:t>
      </w:r>
    </w:p>
    <w:p w:rsidR="00000000" w:rsidDel="00000000" w:rsidP="00000000" w:rsidRDefault="00000000" w:rsidRPr="00000000" w14:paraId="0000000C">
      <w:pPr>
        <w:spacing w:after="60" w:lineRule="auto"/>
        <w:rPr/>
      </w:pPr>
      <w:r w:rsidDel="00000000" w:rsidR="00000000" w:rsidRPr="00000000">
        <w:rPr>
          <w:rFonts w:ascii="Arial" w:cs="Arial" w:eastAsia="Arial" w:hAnsi="Arial"/>
          <w:sz w:val="20"/>
          <w:szCs w:val="20"/>
          <w:rtl w:val="0"/>
        </w:rPr>
        <w:t xml:space="preserve">CRITICAL — Control does not exist or is structurally broken. Governance objective cannot be met. Must fix before assessment.</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Arial" w:cs="Arial" w:eastAsia="Arial" w:hAnsi="Arial"/>
          <w:sz w:val="20"/>
          <w:szCs w:val="20"/>
          <w:rtl w:val="0"/>
        </w:rPr>
        <w:t xml:space="preserve">HIGH — Control exists partially or has a significant weakness. Governance objective is at risk. Fix in current sprint.</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Arial" w:cs="Arial" w:eastAsia="Arial" w:hAnsi="Arial"/>
          <w:sz w:val="20"/>
          <w:szCs w:val="20"/>
          <w:rtl w:val="0"/>
        </w:rPr>
        <w:t xml:space="preserve">MEDIUM — Control gap reduces compliance posture but does not break the process. Schedule for next iteration.</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Arial" w:cs="Arial" w:eastAsia="Arial" w:hAnsi="Arial"/>
          <w:sz w:val="20"/>
          <w:szCs w:val="20"/>
          <w:rtl w:val="0"/>
        </w:rPr>
        <w:t xml:space="preserve">LOW — Best-practice enhancement. Address if time permits.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3. Gap Register</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600"/>
        <w:gridCol w:w="1600"/>
        <w:gridCol w:w="2460"/>
        <w:tblGridChange w:id="0">
          <w:tblGrid>
            <w:gridCol w:w="900"/>
            <w:gridCol w:w="1800"/>
            <w:gridCol w:w="2600"/>
            <w:gridCol w:w="160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20"/>
                <w:szCs w:val="20"/>
                <w:rtl w:val="0"/>
              </w:rPr>
              <w:t xml:space="preserve">Principle /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20"/>
                <w:szCs w:val="20"/>
                <w:rtl w:val="0"/>
              </w:rPr>
              <w:t xml:space="preserve">Gap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Remediation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P1 – Segregation of 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HoD Approval Process missing from .ds. Only LM approval stage exists. Claims above Tier 1 escalate via status change but no second approval process catches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Build a second Creator Approval Process triggered on Status == 'Pending HoD Approval' with HoD role as approver, mirroring the LM stage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P1 – Segregation of 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LM On Reject script is absent. The approval block contains a default sendmail but no audit trail insert, no status update to 'Rejected', and no rejection reason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Write LM On Reject Deluge: set status = 'Rejected', insert Approval_History record with action 'Rejected', capture rejection comments, notify employee.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P1 – Segregation of Duties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LM Approval trigger condition references Parent_Claim_ID.status instead of the record’s own Status field. This means the approval process may never fire for standard submissions.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Change trigger to expense_claims[status == 'Pending LM Approval']. Parent_Claim_ID is a resubmission-tracking field, not the routing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P7 – DoA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Approval_Thresholds form lacks a Tier_Order field. The multi-tier routing refactor designed in Phase 3 requires this field to dynamically determine escalation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Add Tier_Order (Number type) to Approval_Thresholds form. Populate: Tier 1 = 1, Tier 2 = 2. Update On Approve scripts to sort by Tier_Order.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G-05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P7 – DoA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Notification routing uses hardcoded email addresses (hod.demo@yourdomain.com, linemanager.demo@yourdomain.com) instead of dynamic role-based lookups.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Replace hardcoded emails with dynamic lookup using Approval_Thresholds.Approver_Role or Creator’s built-in approval task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G-06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P11 – Risk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No VAT invoice threshold enforcement. SARS requires full tax invoices for supplies exceeding R5,000 and abbreviated invoices above R50. The system validates receipt presence but not invoice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Add VAT_Invoice_Type picklist (None / Abbreviated / Full Tax Invoice) and enforce via On Validate: if amount &gt; R5,000, require Full Tax Invoice selection.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G-07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P12 – Technology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Line Manager role has status field set to readonly:false. This allows LMs to manually change claim status, bypassing the approval workflow entirely.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d"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Set status field to readonly:true for Line Manager role in share_settings. Status changes must only occur through workflow scripts and approval process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G-08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P12 – Technology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GL_Accounts form has receipt_required default set to false. Per SARS S11(a), receipts are mandatory for all deductible expenses. Default should be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Change receipt_required initial value from false to true in GL_Accounts form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G-09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P13 – Compliance (SARS)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No record retention mechanism. Tax Administration Act S29 requires 5-year retention. The system has no archival flag, no retention date field, and no scheduled purge-prevention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Add Retention_Expiry_Date (Formula: addYear(Submission_Date, 5)) and a scheduled workflow that flags records approaching expiry. Prevent deletion of records within retention window via On Delete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P13 – Compliance (POPIA)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No POPIA consent capture. Employee_Name and Email are marked personal data = true, but no consent acknowledgment field or privacy notice reference exists on the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Add POPIA_Consent (Decision Box) with a privacy notice link. Make mandatory. Log consent timestamp in Approval_History.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G-11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P15 – Combined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SLA Enforcement scheduled workflow uses zoho.loginuser for the Actor field in audit trail inserts. Scheduled workflows run as the system, not a logged-in user — this will either error or log misleading actor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Replace zoho.loginuser with a literal string 'SYSTEM' (already done for the Actor field but not for Added_User). Change Added_User to zoho.adminuserid or remove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G-12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P15 – Combined Assurance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Approval_History form is directly accessible to all roles for manual add. An employee could insert fabricated audit records. The form’s Add action should be restricted to system-only inserts.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e0"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bCs w:val="1"/>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Remove Create permission from Employee, Line Manager, and HoD roles for the Approval_History form. Audit records should only be created by Deluge 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G-13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P12 – Technology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Expense_Claims form allows 'Add New' on the GL Code lookup, meaning any user could create GL Account records inline. This bypasses Finance Accountant control over the chart of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Remove the 'allow new entries' attribute from the gl_code lookup field on Expense_Claims. GL records should only be created via the GL_Accounts form by authorised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G-14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P12 – Technology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Expense_Claims form allows 'Add New' on Department and Client lookups. Same issue as G-13 — reference data creation should be controlled.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Remove 'allow new entries' from department and client lookup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G-15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International: COSO 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No explicit fraud risk indicators. COSO Internal Control — Integrated Framework requires organisations to consider the potential for fraud in assessing risks. The system has no duplicate-claim detection beyond what Zoho provides natively.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7"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1"/>
                <w:bCs w:val="1"/>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Add On Validate check: query Expense_Claims for same Expense_Date + same amount_zar + same employee within the current submission. Alert if potential duplicate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G-16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International: ISO 37001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No anti-bribery classification. ISO 37001 (Anti-Bribery Management) expects expense categories prone to bribery risk (e.g., Meals &amp; Entertainment, Professional Services) to receive enhanced scrutiny.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Flag high-risk categories in GL_Accounts with a Risk_Level field. Route high-risk claims to HoD regardless of amount.</w:t>
            </w:r>
            <w:r w:rsidDel="00000000" w:rsidR="00000000" w:rsidRPr="00000000">
              <w:rPr>
                <w:rtl w:val="0"/>
              </w:rPr>
            </w:r>
          </w:p>
        </w:tc>
      </w:tr>
    </w:tbl>
    <w:p w:rsidR="00000000" w:rsidDel="00000000" w:rsidP="00000000" w:rsidRDefault="00000000" w:rsidRPr="00000000" w14:paraId="00000067">
      <w:pPr>
        <w:spacing w:after="200" w:lineRule="auto"/>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4. King IV Principle Coverage Summary</w:t>
      </w:r>
    </w:p>
    <w:p w:rsidR="00000000" w:rsidDel="00000000" w:rsidP="00000000" w:rsidRDefault="00000000" w:rsidRPr="00000000" w14:paraId="00000069">
      <w:pPr>
        <w:spacing w:after="120" w:lineRule="auto"/>
        <w:rPr/>
      </w:pPr>
      <w:r w:rsidDel="00000000" w:rsidR="00000000" w:rsidRPr="00000000">
        <w:rPr>
          <w:rFonts w:ascii="Arial" w:cs="Arial" w:eastAsia="Arial" w:hAnsi="Arial"/>
          <w:sz w:val="20"/>
          <w:szCs w:val="20"/>
          <w:rtl w:val="0"/>
        </w:rPr>
        <w:t xml:space="preserve">Principle 1 (Ethical Leadership / Segregation of Duties): Three critical gaps (G-01, G-02, G-03) indicate the segregation of duties control is structurally incomplete. The self-approval bypass for LM-role submitters works correctly in the On Success script, but the downstream approval chain is broken.</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Arial" w:cs="Arial" w:eastAsia="Arial" w:hAnsi="Arial"/>
          <w:sz w:val="20"/>
          <w:szCs w:val="20"/>
          <w:rtl w:val="0"/>
        </w:rPr>
        <w:t xml:space="preserve">Principle 7 (DoA Composition): The threshold-based routing logic exists in the LM On Approve script and works against the Approval_Thresholds config table. However, the absence of Tier_Order (G-04) and hardcoded emails (G-05) mean the system cannot scale to additional tiers without code changes.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sz w:val="20"/>
          <w:szCs w:val="20"/>
          <w:rtl w:val="0"/>
        </w:rPr>
        <w:t xml:space="preserve">Principle 11 (Risk Governance): Receipt validation is implemented (On Validate script enforces mandatory uploads). VAT invoice type differentiation (G-06) and duplicate detection (G-15) remain unaddressed.</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sz w:val="20"/>
          <w:szCs w:val="20"/>
          <w:rtl w:val="0"/>
        </w:rPr>
        <w:t xml:space="preserve">Principle 12 (Technology Governance): Role-based access controls are substantially configured, with correct field-level permissions for Employee and Finance Accountant roles. However, the LM status override (G-07), uncontrolled lookup additions (G-13, G-14), and GL default (G-08) create bypass paths.</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sz w:val="20"/>
          <w:szCs w:val="20"/>
          <w:rtl w:val="0"/>
        </w:rPr>
        <w:t xml:space="preserve">Principle 13 (Compliance): SARS S11(a) substantiation is partially met via mandatory receipts and business purpose fields. Record retention (G-09) and POPIA consent (G-10) are not addressed.</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0"/>
          <w:szCs w:val="20"/>
          <w:rtl w:val="0"/>
        </w:rPr>
        <w:t xml:space="preserve">Principle 15 (Combined Assurance): The Approval_History audit log structure is sound and correctly captures submission, approval, escalation, and resubmission events. The SLA Actor bug (G-11) and manual audit record creation risk (G-12) weaken assurance integrity.</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5. Controls Operating Correctly</w:t>
      </w:r>
    </w:p>
    <w:p w:rsidR="00000000" w:rsidDel="00000000" w:rsidP="00000000" w:rsidRDefault="00000000" w:rsidRPr="00000000" w14:paraId="00000071">
      <w:pPr>
        <w:spacing w:after="80" w:lineRule="auto"/>
        <w:rPr/>
      </w:pPr>
      <w:r w:rsidDel="00000000" w:rsidR="00000000" w:rsidRPr="00000000">
        <w:rPr>
          <w:rFonts w:ascii="Arial" w:cs="Arial" w:eastAsia="Arial" w:hAnsi="Arial"/>
          <w:sz w:val="20"/>
          <w:szCs w:val="20"/>
          <w:rtl w:val="0"/>
        </w:rPr>
        <w:t xml:space="preserve">The following controls are confirmed present and structurally sound in the .ds export: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Validate: future date prevention, 90-day late submission window, positive amount enforcement, mandatory receipt upload (SARS S11(a))</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Self-approval prevention: LM-role submitters are correctly routed to HoD with audit trail and notification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Claim Reference generation: EXP-NNNN format via On Success script with string padding workaround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Employee auto-population: zoho.loginuser and zoho.loginuserid correctly populate name and email on form load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LM On Approve threshold routing: correctly queries Approval_Thresholds with null guard and fallback, GL code assignment with null guard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Resubmission handler: version increment, re-routing with self-approval check, audit trail, notification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SLA enforcement: daily scheduled workflow with 1-day reminder and 2-day escalation using daysBetween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 hierarchy: CEO &gt; HoD &gt; Line Manager &gt; Employee with role-based record visibility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Employee status field: correctly set to readonly:true, preventing workflow bypass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 Code field: readonly for Employee role, editable only via workflow scripts and Finance Accountant role</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