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C2233"/>
          <w:sz w:val="40"/>
          <w:szCs w:val="40"/>
        </w:rPr>
        <w:t xml:space="preserve">QualityFriend – Developer Handoff Addendum</w:t>
      </w:r>
    </w:p>
    <w:p>
      <w:pPr>
        <w:spacing w:after="400"/>
      </w:pPr>
      <w:r>
        <w:rPr>
          <w:i/>
          <w:iCs/>
          <w:color w:val="666666"/>
          <w:sz w:val="22"/>
          <w:szCs w:val="22"/>
        </w:rPr>
        <w:t xml:space="preserve">Mockup-vs-real boundaries · after final critic review · Desktop &amp; Mobile frozen</w:t>
      </w:r>
    </w:p>
    <w:p>
      <w:pPr>
        <w:spacing w:after="150"/>
      </w:pPr>
      <w:r>
        <w:rPr>
          <w:b w:val="false"/>
          <w:bCs w:val="false"/>
          <w:i w:val="false"/>
          <w:iCs w:val="false"/>
        </w:rPr>
        <w:t xml:space="preserve">This document supplements the existing handoff document. It specifically summarizes the places where the HTML mockup was deliberately simplified to allow fast iteration on the design — but which need to be built differently, or more completely, in the real system (Node.js/MySQL). Every point below was checked across multiple rounds of critic review; the mockup itself is functional and covered by end-to-end tests.</w:t>
      </w:r>
    </w:p>
    <w:p>
      <w:pPr>
        <w:pStyle w:val="Heading1"/>
        <w:spacing w:after="200" w:before="400"/>
      </w:pPr>
      <w:r>
        <w:t xml:space="preserve">1. Security-relevant: UI visibility ≠ backend access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EF2F2" w:val="clear"/>
            <w:tcMar>
              <w:top w:type="dxa" w:w="150"/>
              <w:left w:type="dxa" w:w="200"/>
              <w:bottom w:type="dxa" w:w="150"/>
              <w:right w:type="dxa" w:w="200"/>
            </w:tcMar>
          </w:tcPr>
          <w:p>
            <w:pPr>
              <w:spacing w:after="60"/>
            </w:pPr>
            <w:r>
              <w:rPr>
                <w:b/>
                <w:bCs/>
                <w:color w:val="DC2626"/>
              </w:rPr>
              <w:t xml:space="preserve">The single most important point in this document:</w:t>
            </w:r>
          </w:p>
          <w:p>
            <w:r>
              <w:t xml:space="preserve">The role-level × department logic (which module is visible to whom) is implemented purely client-side in JavaScript in the mockup — to demonstrate the concept, not as a security mechanism. Every route/API must independently enforce the same authorization check server-side (role level + department + own-records-only where relevant), regardless of what the frontend shows. A user who opens the browser console must never be able to see or change more than what the UI displays to them.</w:t>
            </w:r>
          </w:p>
        </w:tc>
      </w:tr>
    </w:tbl>
    <w:p>
      <w:pPr>
        <w:spacing w:after="150"/>
      </w:pPr>
      <w:r>
        <w:rPr>
          <w:b w:val="false"/>
          <w:bCs w:val="false"/>
          <w:i w:val="false"/>
          <w:iCs w:val="false"/>
        </w:rPr>
        <w:t xml:space="preserve"/>
      </w:r>
    </w:p>
    <w:p>
      <w:pPr>
        <w:spacing w:after="150"/>
      </w:pPr>
      <w:r>
        <w:rPr>
          <w:b w:val="false"/>
          <w:bCs w:val="false"/>
          <w:i w:val="false"/>
          <w:iCs w:val="false"/>
        </w:rPr>
        <w:t xml:space="preserve">Specifics to carry over into the backend data model:</w:t>
      </w:r>
    </w:p>
    <w:p>
      <w:pPr>
        <w:pStyle w:val="ListParagraph"/>
        <w:numPr>
          <w:ilvl w:val="0"/>
          <w:numId w:val="1"/>
        </w:numPr>
        <w:spacing w:after="80"/>
      </w:pPr>
      <w:r>
        <w:rPr>
          <w:b w:val="false"/>
          <w:bCs w:val="false"/>
        </w:rPr>
        <w:t xml:space="preserve">Every user has exactly one role level (Employee / Team Lead / Management / Administrator) and one department assignment (freely configurable — see department management).</w:t>
      </w:r>
    </w:p>
    <w:p>
      <w:pPr>
        <w:pStyle w:val="ListParagraph"/>
        <w:numPr>
          <w:ilvl w:val="0"/>
          <w:numId w:val="1"/>
        </w:numPr>
        <w:spacing w:after="80"/>
      </w:pPr>
      <w:r>
        <w:rPr>
          <w:b w:val="false"/>
          <w:bCs w:val="false"/>
        </w:rPr>
        <w:t xml:space="preserve">Management and Administrator see across all departments — this is a deliberate exception, not a bug.</w:t>
      </w:r>
    </w:p>
    <w:p>
      <w:pPr>
        <w:pStyle w:val="ListParagraph"/>
        <w:numPr>
          <w:ilvl w:val="0"/>
          <w:numId w:val="1"/>
        </w:numPr>
        <w:spacing w:after="80"/>
      </w:pPr>
      <w:r>
        <w:rPr>
          <w:b w:val="false"/>
          <w:bCs w:val="false"/>
        </w:rPr>
        <w:t xml:space="preserve">"Only me" visibility (e.g. for notes) is bound to the specific user ID, not the role — this was explicitly confirmed with Klaus (relevant as soon as there is more than one Administrator account).</w:t>
      </w:r>
    </w:p>
    <w:p>
      <w:pPr>
        <w:pStyle w:val="Heading1"/>
        <w:spacing w:after="200" w:before="400"/>
      </w:pPr>
      <w:r>
        <w:t xml:space="preserve">2. Checklists: separate Template / Run / Run Items</w:t>
      </w:r>
    </w:p>
    <w:p>
      <w:pPr>
        <w:spacing w:after="150"/>
      </w:pPr>
      <w:r>
        <w:rPr>
          <w:b w:val="false"/>
          <w:bCs w:val="false"/>
          <w:i w:val="false"/>
          <w:iCs w:val="false"/>
        </w:rPr>
        <w:t xml:space="preserve">In the mockup, the state of a checklist run (which item is done/open/"not possible", including comments) lives directly on the checklist object itself and is reset after completion so the next run starts fresh at "open". The full historical run only lives on as a compact line in the activity log.</w:t>
      </w:r>
    </w:p>
    <w:p>
      <w:pPr>
        <w:spacing w:after="150"/>
      </w:pPr>
      <w:r>
        <w:rPr>
          <w:b w:val="false"/>
          <w:bCs w:val="false"/>
          <w:i w:val="false"/>
          <w:iCs w:val="false"/>
        </w:rPr>
        <w:t xml:space="preserve">The real implementation needs three separate data layers:</w:t>
      </w:r>
    </w:p>
    <w:p>
      <w:pPr>
        <w:pStyle w:val="ListParagraph"/>
        <w:numPr>
          <w:ilvl w:val="0"/>
          <w:numId w:val="1"/>
        </w:numPr>
        <w:spacing w:after="80"/>
      </w:pPr>
      <w:r>
        <w:rPr>
          <w:b w:val="false"/>
          <w:bCs w:val="false"/>
        </w:rPr>
        <w:t xml:space="preserve">Checklist Template – the definition (title, items, recurrence, assignment)</w:t>
      </w:r>
    </w:p>
    <w:p>
      <w:pPr>
        <w:pStyle w:val="ListParagraph"/>
        <w:numPr>
          <w:ilvl w:val="0"/>
          <w:numId w:val="1"/>
        </w:numPr>
        <w:spacing w:after="80"/>
      </w:pPr>
      <w:r>
        <w:rPr>
          <w:b w:val="false"/>
          <w:bCs w:val="false"/>
        </w:rPr>
        <w:t xml:space="preserve">Checklist Run – one concrete execution/instance at a point in time (linked to a template)</w:t>
      </w:r>
    </w:p>
    <w:p>
      <w:pPr>
        <w:pStyle w:val="ListParagraph"/>
        <w:numPr>
          <w:ilvl w:val="0"/>
          <w:numId w:val="1"/>
        </w:numPr>
        <w:spacing w:after="80"/>
      </w:pPr>
      <w:r>
        <w:rPr>
          <w:b w:val="false"/>
          <w:bCs w:val="false"/>
        </w:rPr>
        <w:t xml:space="preserve">Run Items – the state of each individual item within a run (open/done/exception + comment)</w:t>
      </w:r>
    </w:p>
    <w:p>
      <w:pPr>
        <w:spacing w:after="150"/>
      </w:pPr>
      <w:r>
        <w:rPr>
          <w:b w:val="false"/>
          <w:bCs w:val="false"/>
          <w:i w:val="false"/>
          <w:iCs w:val="false"/>
        </w:rPr>
        <w:t xml:space="preserve">This keeps the complete history of every run retrievable (e.g. for insurance or regulatory evidence for safety-relevant checks such as fire exits or fire safety), instead of only a summary line in the activity log.</w:t>
      </w:r>
    </w:p>
    <w:p>
      <w:pPr>
        <w:pStyle w:val="Heading1"/>
        <w:spacing w:after="200" w:before="400"/>
      </w:pPr>
      <w:r>
        <w:t xml:space="preserve">3. Handovers (Mobile): read status per user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EF2F2" w:val="clear"/>
            <w:tcMar>
              <w:top w:type="dxa" w:w="150"/>
              <w:left w:type="dxa" w:w="200"/>
              <w:bottom w:type="dxa" w:w="150"/>
              <w:right w:type="dxa" w:w="200"/>
            </w:tcMar>
          </w:tcPr>
          <w:p>
            <w:pPr>
              <w:spacing w:after="60"/>
            </w:pPr>
            <w:r>
              <w:rPr>
                <w:b/>
                <w:bCs/>
                <w:color w:val="DC2626"/>
              </w:rPr>
              <w:t xml:space="preserve">Data model fix required:</w:t>
            </w:r>
          </w:p>
          <w:p>
            <w:r>
              <w:t xml:space="preserve">In the mockup, "read" is a single global boolean per handover. That's fine for the demo, but wrong in multi-user operation: as soon as one person opens a handover, it would incorrectly appear as read for everyone. In the real system, read status must be stored per (handover, user) pair — e.g. a read_by table or a JSON array of user IDs.</w:t>
            </w:r>
          </w:p>
        </w:tc>
      </w:tr>
    </w:tbl>
    <w:p>
      <w:pPr>
        <w:spacing w:after="150"/>
      </w:pPr>
      <w:r>
        <w:rPr>
          <w:b w:val="false"/>
          <w:bCs w:val="false"/>
          <w:i w:val="false"/>
          <w:iCs w:val="false"/>
        </w:rPr>
        <w:t xml:space="preserve"/>
      </w:r>
    </w:p>
    <w:p>
      <w:pPr>
        <w:spacing w:after="150"/>
      </w:pPr>
      <w:r>
        <w:rPr>
          <w:b w:val="false"/>
          <w:bCs w:val="false"/>
          <w:i w:val="false"/>
          <w:iCs w:val="false"/>
        </w:rPr>
        <w:t xml:space="preserve">Also worth carrying over: the visibility filtering of handovers (hotel-wide + own department + Management/Admin see everything) is already implemented as an example in the mobile mockup and should serve as a template for the backend query.</w:t>
      </w:r>
    </w:p>
    <w:p>
      <w:pPr>
        <w:pStyle w:val="Heading1"/>
        <w:spacing w:after="200" w:before="400"/>
      </w:pPr>
      <w:r>
        <w:t xml:space="preserve">4. Universal "Report": AI suggestion, not autopilot</w:t>
      </w:r>
    </w:p>
    <w:p>
      <w:pPr>
        <w:spacing w:after="150"/>
      </w:pPr>
      <w:r>
        <w:rPr>
          <w:b w:val="false"/>
          <w:bCs w:val="false"/>
          <w:i w:val="false"/>
          <w:iCs w:val="false"/>
        </w:rPr>
        <w:t xml:space="preserve">The "+ Report" feature (Desktop: topbar button, Mobile: context-aware FAB) classifies a free-text entry via simple keyword matching into Repair / Task / Handover and additionally suggests a responsible department. The mockup deliberately implements this as a suggestion with a confirmation screen, not as automatic routing — a user sees and confirms (or changes) both the category and the department before anything is saved.</w:t>
      </w:r>
    </w:p>
    <w:p>
      <w:pPr>
        <w:spacing w:after="150"/>
      </w:pPr>
      <w:r>
        <w:rPr>
          <w:b w:val="false"/>
          <w:bCs w:val="false"/>
          <w:i w:val="false"/>
          <w:iCs w:val="false"/>
        </w:rPr>
        <w:t xml:space="preserve">For the real version: the simple keyword matching in the mockup should be replaced with an actual LLM call (Claude, as used elsewhere in the system) — but the core principle of "suggest, don't auto-decide" should absolutely be kept, especially for safety- or guest-relevant reports.</w:t>
      </w:r>
    </w:p>
    <w:p>
      <w:pPr>
        <w:spacing w:after="150"/>
      </w:pPr>
      <w:r>
        <w:rPr>
          <w:b w:val="false"/>
          <w:bCs w:val="false"/>
          <w:i w:val="false"/>
          <w:iCs w:val="false"/>
        </w:rPr>
        <w:t xml:space="preserve">Attachments (photo/video/voice note) are collected in the Report flow and attached to whichever object is created (Repair, Task, or Handover) regardless of category — this was a concrete bugfix found during critic review and should be carried over 1:1 into the data model (all three object types need an attachments field).</w:t>
      </w:r>
    </w:p>
    <w:p>
      <w:pPr>
        <w:pStyle w:val="Heading1"/>
        <w:spacing w:after="200" w:before="400"/>
      </w:pPr>
      <w:r>
        <w:t xml:space="preserve">5. Knowledge base / Manuals: one source, two views</w:t>
      </w:r>
    </w:p>
    <w:p>
      <w:pPr>
        <w:spacing w:after="150"/>
      </w:pPr>
      <w:r>
        <w:rPr>
          <w:b w:val="false"/>
          <w:bCs w:val="false"/>
          <w:i w:val="false"/>
          <w:iCs w:val="false"/>
        </w:rPr>
        <w:t xml:space="preserve">Manuals (read view, all roles) and Knowledge Base (management/upload, Admin/Management only) both read from the same underlying data structure in the mockup — upload a document once, it's visible everywhere. This is not a mockup shortcut but the intended target architecture, and should be carried over 1:1 (one documents table with department assignment, no separate manual upload).</w:t>
      </w:r>
    </w:p>
    <w:p>
      <w:pPr>
        <w:pStyle w:val="Heading1"/>
        <w:spacing w:after="200" w:before="400"/>
      </w:pPr>
      <w:r>
        <w:t xml:space="preserve">6. Known mockup simplifications (deliberate, not bugs)</w:t>
      </w:r>
    </w:p>
    <w:p>
      <w:pPr>
        <w:spacing w:after="150"/>
      </w:pPr>
      <w:r>
        <w:rPr>
          <w:b w:val="false"/>
          <w:bCs w:val="false"/>
          <w:i w:val="false"/>
          <w:iCs w:val="false"/>
        </w:rPr>
        <w:t xml:space="preserve">These points were deliberately left as-is during the critic rounds and don't need to be carried over 1:1 into the real build — but shouldn't be mistaken for oversights either:</w:t>
      </w:r>
    </w:p>
    <w:p>
      <w:pPr>
        <w:pStyle w:val="ListParagraph"/>
        <w:numPr>
          <w:ilvl w:val="0"/>
          <w:numId w:val="1"/>
        </w:numPr>
        <w:spacing w:after="80"/>
      </w:pPr>
      <w:r>
        <w:rPr>
          <w:b w:val="false"/>
          <w:bCs w:val="false"/>
        </w:rPr>
        <w:t xml:space="preserve">The role matrix (Settings) is deliberately read-only on Mobile — editing is Desktop-only, since multi-field configuration work makes little sense on a phone.</w:t>
      </w:r>
    </w:p>
    <w:p>
      <w:pPr>
        <w:pStyle w:val="ListParagraph"/>
        <w:numPr>
          <w:ilvl w:val="0"/>
          <w:numId w:val="1"/>
        </w:numPr>
        <w:spacing w:after="80"/>
      </w:pPr>
      <w:r>
        <w:rPr>
          <w:b w:val="false"/>
          <w:bCs w:val="false"/>
        </w:rPr>
        <w:t xml:space="preserve">Job listing creation (AI generator, image/logo, multi-language preview) deliberately exists on Desktop only.</w:t>
      </w:r>
    </w:p>
    <w:p>
      <w:pPr>
        <w:pStyle w:val="ListParagraph"/>
        <w:numPr>
          <w:ilvl w:val="0"/>
          <w:numId w:val="1"/>
        </w:numPr>
        <w:spacing w:after="80"/>
      </w:pPr>
      <w:r>
        <w:rPr>
          <w:b w:val="false"/>
          <w:bCs w:val="false"/>
        </w:rPr>
        <w:t xml:space="preserve">The keyword classifier used for Report is a simple stand-in for a real AI call (see section 4).</w:t>
      </w:r>
    </w:p>
    <w:p>
      <w:pPr>
        <w:pStyle w:val="ListParagraph"/>
        <w:numPr>
          <w:ilvl w:val="0"/>
          <w:numId w:val="1"/>
        </w:numPr>
        <w:spacing w:after="80"/>
      </w:pPr>
      <w:r>
        <w:rPr>
          <w:b w:val="false"/>
          <w:bCs w:val="false"/>
        </w:rPr>
        <w:t xml:space="preserve">Email sending (offer/rejection in Recruiting, handover notifications) is simulated throughout (alert dialog instead of an actual send).</w:t>
      </w:r>
    </w:p>
    <w:p>
      <w:pPr>
        <w:pStyle w:val="Heading1"/>
        <w:spacing w:after="200" w:before="400"/>
      </w:pPr>
      <w:r>
        <w:t xml:space="preserve">7. Development priority</w:t>
      </w:r>
    </w:p>
    <w:p>
      <w:pPr>
        <w:spacing w:after="150"/>
      </w:pPr>
      <w:r>
        <w:rPr>
          <w:b w:val="false"/>
          <w:bCs w:val="false"/>
          <w:i w:val="false"/>
          <w:iCs w:val="false"/>
        </w:rPr>
        <w:t xml:space="preserve">Recommended order, based on impact if built incorrectly: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800"/>
      </w:tblGrid>
      <w:tr>
        <w:trPr>
          <w:tblHeader/>
        </w:trPr>
        <w:tc>
          <w:tcPr>
            <w:shd w:fill="1C2233" w:val="clear"/>
            <w:tcMar>
              <w:top w:type="dxa" w:w="100"/>
              <w:left w:type="dxa" w:w="120"/>
              <w:bottom w:type="dxa" w:w="100"/>
              <w:right w:type="dxa" w:w="120"/>
            </w:tcMar>
          </w:tcPr>
          <w:p>
            <w:r>
              <w:rPr>
                <w:b/>
                <w:bCs/>
                <w:color w:val="FFFFFF"/>
              </w:rPr>
              <w:t xml:space="preserve">Priority</w:t>
            </w:r>
          </w:p>
        </w:tc>
        <w:tc>
          <w:tcPr>
            <w:shd w:fill="1C2233" w:val="clear"/>
            <w:tcMar>
              <w:top w:type="dxa" w:w="100"/>
              <w:left w:type="dxa" w:w="120"/>
              <w:bottom w:type="dxa" w:w="100"/>
              <w:right w:type="dxa" w:w="120"/>
            </w:tcMar>
          </w:tcPr>
          <w:p>
            <w:r>
              <w:rPr>
                <w:b/>
                <w:bCs/>
                <w:color w:val="FFFFFF"/>
              </w:rPr>
              <w:t xml:space="preserve">Topic</w:t>
            </w:r>
          </w:p>
        </w:tc>
        <w:tc>
          <w:tcPr>
            <w:shd w:fill="1C2233" w:val="clear"/>
            <w:tcMar>
              <w:top w:type="dxa" w:w="100"/>
              <w:left w:type="dxa" w:w="120"/>
              <w:bottom w:type="dxa" w:w="100"/>
              <w:right w:type="dxa" w:w="120"/>
            </w:tcMar>
          </w:tcPr>
          <w:p>
            <w:r>
              <w:rPr>
                <w:b/>
                <w:bCs/>
                <w:color w:val="FFFFFF"/>
              </w:rPr>
              <w:t xml:space="preserve">Why it matters</w:t>
            </w:r>
          </w:p>
        </w:tc>
      </w:tr>
      <w:tr>
        <w:trPr>
          <w:cantSplit/>
        </w:trPr>
        <w:tc>
          <w:tcPr>
            <w:tcW w:type="pct" w:w="12%"/>
            <w:shd w:fill="FFFFFF" w:val="clear"/>
            <w:tcMar>
              <w:top w:type="dxa" w:w="100"/>
              <w:left w:type="dxa" w:w="120"/>
              <w:bottom w:type="dxa" w:w="100"/>
              <w:right w:type="dxa" w:w="120"/>
            </w:tcMar>
          </w:tcPr>
          <w:p>
            <w:r>
              <w:rPr>
                <w:b/>
                <w:bCs/>
              </w:rPr>
              <w:t xml:space="preserve">P0</w:t>
            </w:r>
          </w:p>
        </w:tc>
        <w:tc>
          <w:tcPr>
            <w:tcW w:type="pct" w:w="30%"/>
            <w:shd w:fill="FFFFFF" w:val="clear"/>
            <w:tcMar>
              <w:top w:type="dxa" w:w="100"/>
              <w:left w:type="dxa" w:w="120"/>
              <w:bottom w:type="dxa" w:w="100"/>
              <w:right w:type="dxa" w:w="120"/>
            </w:tcMar>
          </w:tcPr>
          <w:p>
            <w:r>
              <w:rPr>
                <w:b w:val="false"/>
                <w:bCs w:val="false"/>
              </w:rPr>
              <w:t xml:space="preserve">UI visibility vs. backend access control (Section 1)</w:t>
            </w:r>
          </w:p>
        </w:tc>
        <w:tc>
          <w:tcPr>
            <w:tcW w:type="pct" w:w="58%"/>
            <w:shd w:fill="FFFFFF" w:val="clear"/>
            <w:tcMar>
              <w:top w:type="dxa" w:w="100"/>
              <w:left w:type="dxa" w:w="120"/>
              <w:bottom w:type="dxa" w:w="100"/>
              <w:right w:type="dxa" w:w="120"/>
            </w:tcMar>
          </w:tcPr>
          <w:p>
            <w:r>
              <w:rPr>
                <w:b w:val="false"/>
                <w:bCs w:val="false"/>
              </w:rPr>
              <w:t xml:space="preserve">Security-relevant — every route needs its own server-side check, independent of frontend logic.</w:t>
            </w:r>
          </w:p>
        </w:tc>
      </w:tr>
      <w:tr>
        <w:trPr>
          <w:cantSplit/>
        </w:trPr>
        <w:tc>
          <w:tcPr>
            <w:tcW w:type="pct" w:w="12%"/>
            <w:shd w:fill="F9FAFB" w:val="clear"/>
            <w:tcMar>
              <w:top w:type="dxa" w:w="100"/>
              <w:left w:type="dxa" w:w="120"/>
              <w:bottom w:type="dxa" w:w="100"/>
              <w:right w:type="dxa" w:w="120"/>
            </w:tcMar>
          </w:tcPr>
          <w:p>
            <w:r>
              <w:rPr>
                <w:b/>
                <w:bCs/>
              </w:rPr>
              <w:t xml:space="preserve">P0</w:t>
            </w:r>
          </w:p>
        </w:tc>
        <w:tc>
          <w:tcPr>
            <w:tcW w:type="pct" w:w="30%"/>
            <w:shd w:fill="F9FAFB" w:val="clear"/>
            <w:tcMar>
              <w:top w:type="dxa" w:w="100"/>
              <w:left w:type="dxa" w:w="120"/>
              <w:bottom w:type="dxa" w:w="100"/>
              <w:right w:type="dxa" w:w="120"/>
            </w:tcMar>
          </w:tcPr>
          <w:p>
            <w:r>
              <w:rPr>
                <w:b w:val="false"/>
                <w:bCs w:val="false"/>
              </w:rPr>
              <w:t xml:space="preserve">Separate Checklist Template/Run/Items (Section 2)</w:t>
            </w:r>
          </w:p>
        </w:tc>
        <w:tc>
          <w:tcPr>
            <w:tcW w:type="pct" w:w="58%"/>
            <w:shd w:fill="F9FAFB" w:val="clear"/>
            <w:tcMar>
              <w:top w:type="dxa" w:w="100"/>
              <w:left w:type="dxa" w:w="120"/>
              <w:bottom w:type="dxa" w:w="100"/>
              <w:right w:type="dxa" w:w="120"/>
            </w:tcMar>
          </w:tcPr>
          <w:p>
            <w:r>
              <w:rPr>
                <w:b w:val="false"/>
                <w:bCs w:val="false"/>
              </w:rPr>
              <w:t xml:space="preserve">Without this separation, the audit trail for safety-relevant recurring checks is lost.</w:t>
            </w:r>
          </w:p>
        </w:tc>
      </w:tr>
      <w:tr>
        <w:trPr>
          <w:cantSplit/>
        </w:trPr>
        <w:tc>
          <w:tcPr>
            <w:tcW w:type="pct" w:w="12%"/>
            <w:shd w:fill="FFFFFF" w:val="clear"/>
            <w:tcMar>
              <w:top w:type="dxa" w:w="100"/>
              <w:left w:type="dxa" w:w="120"/>
              <w:bottom w:type="dxa" w:w="100"/>
              <w:right w:type="dxa" w:w="120"/>
            </w:tcMar>
          </w:tcPr>
          <w:p>
            <w:r>
              <w:rPr>
                <w:b/>
                <w:bCs/>
              </w:rPr>
              <w:t xml:space="preserve">P1</w:t>
            </w:r>
          </w:p>
        </w:tc>
        <w:tc>
          <w:tcPr>
            <w:tcW w:type="pct" w:w="30%"/>
            <w:shd w:fill="FFFFFF" w:val="clear"/>
            <w:tcMar>
              <w:top w:type="dxa" w:w="100"/>
              <w:left w:type="dxa" w:w="120"/>
              <w:bottom w:type="dxa" w:w="100"/>
              <w:right w:type="dxa" w:w="120"/>
            </w:tcMar>
          </w:tcPr>
          <w:p>
            <w:r>
              <w:rPr>
                <w:b w:val="false"/>
                <w:bCs w:val="false"/>
              </w:rPr>
              <w:t xml:space="preserve">Per-user read status for handovers (Section 3)</w:t>
            </w:r>
          </w:p>
        </w:tc>
        <w:tc>
          <w:tcPr>
            <w:tcW w:type="pct" w:w="58%"/>
            <w:shd w:fill="FFFFFF" w:val="clear"/>
            <w:tcMar>
              <w:top w:type="dxa" w:w="100"/>
              <w:left w:type="dxa" w:w="120"/>
              <w:bottom w:type="dxa" w:w="100"/>
              <w:right w:type="dxa" w:w="120"/>
            </w:tcMar>
          </w:tcPr>
          <w:p>
            <w:r>
              <w:rPr>
                <w:b w:val="false"/>
                <w:bCs w:val="false"/>
              </w:rPr>
              <w:t xml:space="preserve">Otherwise the handover logic is simply wrong in multi-user operation.</w:t>
            </w:r>
          </w:p>
        </w:tc>
      </w:tr>
      <w:tr>
        <w:trPr>
          <w:cantSplit/>
        </w:trPr>
        <w:tc>
          <w:tcPr>
            <w:tcW w:type="pct" w:w="12%"/>
            <w:shd w:fill="F9FAFB" w:val="clear"/>
            <w:tcMar>
              <w:top w:type="dxa" w:w="100"/>
              <w:left w:type="dxa" w:w="120"/>
              <w:bottom w:type="dxa" w:w="100"/>
              <w:right w:type="dxa" w:w="120"/>
            </w:tcMar>
          </w:tcPr>
          <w:p>
            <w:r>
              <w:rPr>
                <w:b/>
                <w:bCs/>
              </w:rPr>
              <w:t xml:space="preserve">P1</w:t>
            </w:r>
          </w:p>
        </w:tc>
        <w:tc>
          <w:tcPr>
            <w:tcW w:type="pct" w:w="30%"/>
            <w:shd w:fill="F9FAFB" w:val="clear"/>
            <w:tcMar>
              <w:top w:type="dxa" w:w="100"/>
              <w:left w:type="dxa" w:w="120"/>
              <w:bottom w:type="dxa" w:w="100"/>
              <w:right w:type="dxa" w:w="120"/>
            </w:tcMar>
          </w:tcPr>
          <w:p>
            <w:r>
              <w:rPr>
                <w:b w:val="false"/>
                <w:bCs w:val="false"/>
              </w:rPr>
              <w:t xml:space="preserve">Report: real AI call instead of keyword list (Section 4)</w:t>
            </w:r>
          </w:p>
        </w:tc>
        <w:tc>
          <w:tcPr>
            <w:tcW w:type="pct" w:w="58%"/>
            <w:shd w:fill="F9FAFB" w:val="clear"/>
            <w:tcMar>
              <w:top w:type="dxa" w:w="100"/>
              <w:left w:type="dxa" w:w="120"/>
              <w:bottom w:type="dxa" w:w="100"/>
              <w:right w:type="dxa" w:w="120"/>
            </w:tcMar>
          </w:tcPr>
          <w:p>
            <w:r>
              <w:rPr>
                <w:b w:val="false"/>
                <w:bCs w:val="false"/>
              </w:rPr>
              <w:t xml:space="preserve">Currently just a rough demo stand-in; the "suggest, don't auto-decide" principle must be kept.</w:t>
            </w:r>
          </w:p>
        </w:tc>
      </w:tr>
      <w:tr>
        <w:trPr>
          <w:cantSplit/>
        </w:trPr>
        <w:tc>
          <w:tcPr>
            <w:tcW w:type="pct" w:w="12%"/>
            <w:shd w:fill="FFFFFF" w:val="clear"/>
            <w:tcMar>
              <w:top w:type="dxa" w:w="100"/>
              <w:left w:type="dxa" w:w="120"/>
              <w:bottom w:type="dxa" w:w="100"/>
              <w:right w:type="dxa" w:w="120"/>
            </w:tcMar>
          </w:tcPr>
          <w:p>
            <w:r>
              <w:rPr>
                <w:b/>
                <w:bCs/>
              </w:rPr>
              <w:t xml:space="preserve">P2</w:t>
            </w:r>
          </w:p>
        </w:tc>
        <w:tc>
          <w:tcPr>
            <w:tcW w:type="pct" w:w="30%"/>
            <w:shd w:fill="FFFFFF" w:val="clear"/>
            <w:tcMar>
              <w:top w:type="dxa" w:w="100"/>
              <w:left w:type="dxa" w:w="120"/>
              <w:bottom w:type="dxa" w:w="100"/>
              <w:right w:type="dxa" w:w="120"/>
            </w:tcMar>
          </w:tcPr>
          <w:p>
            <w:r>
              <w:rPr>
                <w:b w:val="false"/>
                <w:bCs w:val="false"/>
              </w:rPr>
              <w:t xml:space="preserve">Add attachments field to Task/Handover schema</w:t>
            </w:r>
          </w:p>
        </w:tc>
        <w:tc>
          <w:tcPr>
            <w:tcW w:type="pct" w:w="58%"/>
            <w:shd w:fill="FFFFFF" w:val="clear"/>
            <w:tcMar>
              <w:top w:type="dxa" w:w="100"/>
              <w:left w:type="dxa" w:w="120"/>
              <w:bottom w:type="dxa" w:w="100"/>
              <w:right w:type="dxa" w:w="120"/>
            </w:tcMar>
          </w:tcPr>
          <w:p>
            <w:r>
              <w:rPr>
                <w:b w:val="false"/>
                <w:bCs w:val="false"/>
              </w:rPr>
              <w:t xml:space="preserve">Small data model addition, but easy to miss.</w:t>
            </w:r>
          </w:p>
        </w:tc>
      </w:tr>
    </w:tbl>
    <w:p>
      <w:pPr>
        <w:pStyle w:val="Heading1"/>
        <w:spacing w:after="200" w:before="400"/>
      </w:pPr>
      <w:r>
        <w:t xml:space="preserve">8. Status of the mockups</w:t>
      </w:r>
    </w:p>
    <w:p>
      <w:pPr>
        <w:spacing w:after="150"/>
      </w:pPr>
      <w:r>
        <w:rPr>
          <w:b w:val="false"/>
          <w:bCs w:val="false"/>
          <w:i w:val="false"/>
          <w:iCs w:val="false"/>
        </w:rPr>
        <w:t xml:space="preserve">Both mockups (weihrerhof-system.html for Desktop, weihrerhof-mobile.html for Mobile) are frozen. They were cross-checked over multiple rounds of independent critic review — every point raised was verified (not blindly accepted), fixed, and covered by automated end-to-end tests before being marked done. For questions about individual modules, the HTML/JS itself is the best reference — the structure follows the same pattern throughout (go() navigation, *Data objects per module, render*() functions).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2026-08-25T15:54:19.381Z</dcterms:created>
  <dcterms:modified xsi:type="dcterms:W3CDTF">2026-08-25T15:54:19.381Z</dcterms:modified>
</cp:coreProperties>
</file>

<file path=docProps/custom.xml><?xml version="1.0" encoding="utf-8"?>
<Properties xmlns="http://schemas.openxmlformats.org/officeDocument/2006/custom-properties" xmlns:vt="http://schemas.openxmlformats.org/officeDocument/2006/docPropsVTypes"/>
</file>