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QualityFriend — Developer Handoff Document</w:t>
      </w:r>
    </w:p>
    <w:p>
      <w:pPr>
        <w:spacing w:after="40"/>
      </w:pPr>
      <w:r>
        <w:rPr>
          <w:color w:val="595959"/>
          <w:sz w:val="24"/>
          <w:szCs w:val="24"/>
        </w:rPr>
        <w:t xml:space="preserve">Mockup-to-Implementation Reference · Prepared for Fahad (ARFASOFTECH)</w:t>
      </w:r>
    </w:p>
    <w:p>
      <w:pPr>
        <w:spacing w:after="300"/>
      </w:pPr>
      <w:r>
        <w:rPr>
          <w:color w:val="808080"/>
          <w:sz w:val="20"/>
          <w:szCs w:val="20"/>
        </w:rPr>
        <w:t xml:space="preserve">Klaus Pichler · Hotel Weihrerhof / QualityFriend · August 23, 2026</w:t>
      </w:r>
    </w:p>
    <w:p>
      <w:pPr>
        <w:pStyle w:val="Heading1"/>
        <w:spacing w:after="160" w:before="320"/>
      </w:pPr>
      <w:r>
        <w:t xml:space="preserve">1. Purpose &amp; Scope</w:t>
      </w:r>
    </w:p>
    <w:p>
      <w:pPr>
        <w:spacing w:after="140"/>
      </w:pPr>
      <w:r>
        <w:t xml:space="preserve">This document accompanies the two functional HTML/JS mockups, weihrerhof-system.html (desktop) and weihrerhof-mobile.html (mobile). Its purpose is to close the gap between “what the mockups show” and “what the real system needs to do,” since a number of requirements are implicit in the interaction design but are not visible from reading the HTML/JS code directly.</w:t>
      </w:r>
    </w:p>
    <w:p>
      <w:pPr>
        <w:spacing w:after="140"/>
      </w:pPr>
      <w:r>
        <w:t xml:space="preserve">You already built and know the existing QualityFriend codebase, so this document does not re-explain infrastructure, hosting, or the AI dispatcher architecture. It focuses specifically on the modules covered by the two mockups: Settings, Recruiting, Handovers (Übergaben), Checklists/Todos, Repairs (Reparaturen), Housekeeping, Notes (Notizen), Handbooks/Knowledge base, and the unified quick-capture (“⚡ Melden”).</w:t>
      </w:r>
    </w:p>
    <w:p>
      <w:r>
        <w:rPr>
          <w:b/>
        </w:rPr>
        <w:t xml:space="preserve">Implementation priority. </w:t>
      </w:r>
      <w:r>
        <w:t>When the mockup code, this document, and the existing QualityFriend implementation differ, do not guess. Clarify the intended behavior before implementing the conflicting part.</w:t>
      </w:r>
    </w:p>
    <w:p>
      <w:pPr>
        <w:pStyle w:val="Heading1"/>
        <w:spacing w:after="160" w:before="320"/>
      </w:pPr>
      <w:r>
        <w:t xml:space="preserve">2. What the Mockups Are — and Are Not</w:t>
      </w:r>
    </w:p>
    <w:p>
      <w:pPr>
        <w:spacing w:after="140"/>
      </w:pPr>
      <w:r>
        <w:t xml:space="preserve">The two HTML files are a UX and interaction-design reference. They demonstrate screens, flows, role-based navigation, and intended behavior. They are not a shared backend and should not be read as a description of the target data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Two independent simulations. </w:t>
      </w:r>
      <w:r>
        <w:t xml:space="preserve">The desktop and mobile files maintain their own separate in-memory JS objects (e.g. repairsData on desktop vs. mRepairsData on mobile) with partially different field names for what is conceptually the same entity. They express the same principle — desktop and mobile operate on the same real-world objects — but are not technically a shared data source. Treat “same data/state across desktop and mobile” as a target requirement for the real system, not as something already implemented in the mockups.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alert()/prompt() are placeholders, not UX spec. </w:t>
      </w:r>
      <w:r>
        <w:t xml:space="preserve">Several interactions currently use alert() or prompt() as stand-ins (e.g. the Dienstplan export to PDF/CSV/XML is currently triggered via prompt()). These must not be carried over 1:1 — they mark “something happens here,” not the intended final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Field names in the mockup code are provisional. </w:t>
      </w:r>
      <w:r>
        <w:t xml:space="preserve">Where this document references object/field names below, please reconcile them against the current state of both files before finalizing the schema — naming has drifted between the two files across iterations.</w:t>
      </w:r>
    </w:p>
    <w:p>
      <w:pPr>
        <w:pStyle w:val="Heading1"/>
        <w:spacing w:after="160" w:before="320"/>
      </w:pPr>
      <w:r>
        <w:t xml:space="preserve">3. Principles Not Visible From the Mockup Alone</w:t>
      </w:r>
    </w:p>
    <w:p>
      <w:pPr>
        <w:spacing w:after="140"/>
      </w:pPr>
      <w:r>
        <w:t xml:space="preserve">These are behavioral requirements for the real system. They are implied by the mockup's interaction design but are easy to miss when reading the code in isolation.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object has exactly one source of truth. A repair, handover, checklist run, room, or task is one record, referenced — not duplicated — wherever it appears (dashboard, department view, personal task list,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Location, department, and responsible person are three distinct fields, never collapsed into one. A repair has a physical location, an owning department, and (optionally) an assigned individual.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Editing a record must preserve its process state. Status, assigned person, comments, attachments, and history must survive an edit to unrelated fields (e.g. editing a repair's description must not reset its status back to “Neu” or clear its assignee).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Recurring checklists are template + individual runs, not a single object that resets daily. Past runs remain as historical records; the template defines what a new run looks like.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Delegating a checklist item creates a real, trackable task — visible to the target person/department, with its own state — not just a visual flag on the checklist.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and visibility are governed by Role × Department, consistently across every module, not decided ad hoc per screen.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Handovers have defined recipients and/or target departments — they are not a general-purpose free-text broadcast.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AI classification (e.g. in ⚡ Melden) may only act without user confirmation when confidence is sufficiently high; otherwise it must 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</w:rPr>
        <w:t xml:space="preserve">Shared work-item architecture. </w:t>
      </w:r>
      <w:r>
        <w:t>Tasks, repairs, and delegated checklist items may share common technical components (assignee, status, due date, history, comments), while remaining distinct user-facing modules. Handovers and the Knowledge Base remain separate concepts unless explicitly specified otherwise.</w:t>
      </w:r>
    </w:p>
    <w:p>
      <w:pPr>
        <w:pStyle w:val="Heading1"/>
        <w:spacing w:after="160" w:before="320"/>
      </w:pPr>
      <w:r>
        <w:t xml:space="preserve">4. Canonical Data Model</w:t>
      </w:r>
    </w:p>
    <w:p>
      <w:pPr>
        <w:spacing w:after="140"/>
      </w:pPr>
      <w:r>
        <w:t xml:space="preserve">The core entities currently exist only as JS objects inside the two mockup files, with some field-name drift between them. Before implementation, these should be consolidated into one canonical schema (fields, types, allowed values) rather than reverse-engineered independently from each file. The table below lists the entities and their conceptual fields as a starting point — please verify against the current mockup code and correct/extend field names and types as needed.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5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Conceptual fields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Repair (Reparatur)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id, location (Ort), department, category, urgency (Dringlichkeit), status, assignee, waiting reason, guest_affected, due_at / target time, comments, attachments, history, created_by, created_at, updated_at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 lifecycle in section 5. Location ≠ department ≠ assignee (see principles).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Handover (Übergabe)</w:t>
            </w:r>
          </w:p>
        </w:tc>
        <w:tc>
          <w:tcPr>
            <w:tcW w:type="dxa" w:w="5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id, sections / content_items[] (Dringend / Gäste / Sonstiges), target department/recipients, read-tracking (per recipient), archived flag, created_by, created_at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A handover may contain multiple content sections/items. “Gelesen” tracking is separate from archiving — both must be modeled independently.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Checklist template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title, department, recurrence rule, items[]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Defines shape of future runs; edits to the template should not silently rewrite historical runs.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Checklist run</w:t>
            </w:r>
          </w:p>
        </w:tc>
        <w:tc>
          <w:tcPr>
            <w:tcW w:type="dxa" w:w="5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template_id, date, items[] with per-item completion + delegation state, completed_by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One record per occurrence. Completed historical runs must never be silently overwritten. Corrections, if permitted, must be auditable and preserve the original history.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Room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id, number, status (cleaning lifecycle), DND flag, occupied flag, assigned cleaner, notes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 and DND/occupied are separate flags, not combined into one status value.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Task</w:t>
            </w:r>
          </w:p>
        </w:tc>
        <w:tc>
          <w:tcPr>
            <w:tcW w:type="dxa" w:w="5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id, source (checklist / handover / repair / manual), title, location, department, assignee, priority / urgency, due_at, status, created_from_id, created_by, created_at, completed_at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Generic “real task” created by delegation — needs its own lifecycle independent of its source object.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id, name, role, department_id, contact, certifications (for HR/Recruiting)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>Role × Department is two-dimensional. For the first version, a user has one role level and one primary department.</w:t>
            </w:r>
          </w:p>
        </w:tc>
      </w:tr>
    </w:tbl>
    <w:p>
      <w:pPr>
        <w:pStyle w:val="Heading1"/>
        <w:spacing w:after="160" w:before="320"/>
      </w:pPr>
      <w:r>
        <w:t xml:space="preserve">5. Status Transitions</w:t>
      </w:r>
    </w:p>
    <w:p>
      <w:pPr>
        <w:spacing w:after="140"/>
      </w:pPr>
      <w:r>
        <w:t xml:space="preserve">The mockup encodes valid transitions in JS logic (which buttons appear in which state). For implementation, these should exist as an explicit table — which transition is valid, and who is allowed to trigger it — rather than being inferred from UI conditionals.</w:t>
      </w:r>
    </w:p>
    <w:p>
      <w:pPr>
        <w:pStyle w:val="Heading2"/>
        <w:spacing w:after="120" w:before="260"/>
      </w:pPr>
      <w:r>
        <w:t xml:space="preserve">5.1 Repair status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4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From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</w:t>
            </w:r>
          </w:p>
        </w:tc>
        <w:tc>
          <w:tcPr>
            <w:tcW w:type="dxa" w:w="4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Typical trigger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Neu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Übernommen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Assignee accepts the repair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Übernommen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 Arbeit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 started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 Arbeit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Wartet (+ Grund)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Blocked — reason required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Wartet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 Arbeit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Blocker resolved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 Arbeit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Erledigt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 completed</w:t>
            </w:r>
          </w:p>
        </w:tc>
      </w:tr>
    </w:tbl>
    <w:p>
      <w:pPr>
        <w:pBdr>
          <w:left w:val="single" w:color="BFBFBF" w:sz="12" w:space="8"/>
        </w:pBdr>
        <w:spacing w:after="200" w:before="80"/>
        <w:ind w:left="215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 exact permitted transitions and who may trigger each one (owner only? any department member? management override?) should be confirmed explicitly — the mockup shows one “happy path” per role but does not exhaustively define edge cases.</w:t>
      </w:r>
    </w:p>
    <w:p>
      <w:pPr>
        <w:pStyle w:val="Heading2"/>
        <w:spacing w:after="120" w:before="260"/>
      </w:pPr>
      <w:r>
        <w:t xml:space="preserve">5.2 Room status</w:t>
      </w:r>
    </w:p>
    <w:p>
      <w:pPr>
        <w:spacing w:after="140"/>
      </w:pPr>
      <w:r>
        <w:t xml:space="preserve">Cleaning status (e.g. Schmutzig → Reinigung → Sauber → Inspiziert) should be modeled as its own state machine, with DND and Belegt (occupied) as independent boolean flags rather than additional status values — a room can be occupied and clean at the same time, for example.</w:t>
      </w:r>
    </w:p>
    <w:p>
      <w:pPr>
        <w:pStyle w:val="Heading1"/>
        <w:spacing w:after="160" w:before="320"/>
      </w:pPr>
      <w:r>
        <w:t xml:space="preserve">6. Permissions Model (Beyond Visibility)</w:t>
      </w:r>
    </w:p>
    <w:p>
      <w:pPr>
        <w:spacing w:after="140"/>
      </w:pPr>
      <w:r>
        <w:t>In the mockup, Role × Department currently controls which navigation items and screens are visible. It does not yet decide finer-grained permissions such as: can a Housekeeping team member edit a repair that belongs to Haustechnik? Can a Teamleitung close a task they did not create? For the real system this needs an explicit rights matrix — Create / Read / Update / Change-status / Assign-Reassign / Delete-Archive — per Role × Department × Ownership (own record vs. own department’s record vs. any record), not just per-screen visibility.</w:t>
      </w:r>
    </w:p>
    <w:p>
      <w:pPr>
        <w:pStyle w:val="Heading1"/>
        <w:spacing w:after="160" w:before="320"/>
      </w:pPr>
      <w:r>
        <w:t xml:space="preserve">7. Simulated in the Mockup — Must Be Real in Implementation</w:t>
      </w:r>
    </w:p>
    <w:p>
      <w:pPr>
        <w:spacing w:after="140"/>
      </w:pPr>
      <w:r>
        <w:t xml:space="preserve">The following are visually complete in the mockup but are not functionally implemented. Please treat them as “behavior to replicate, not code to port”: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 uploads are only {name, type} placeholder objects — no real file storage.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Speech-to-text is a hardcoded example sentence, not a real transcription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Translation (for handovers, notes, etc.) is static pre-written text, not a live AI translation call — in the real system this should go through the multi-provider AI dispatcher (askAI()).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export flows currently triggered via prompt() (e.g. Dienstplan export) are placeholders, not the intended final UX (see section 2).</w:t>
      </w:r>
    </w:p>
    <w:p>
      <w:pPr>
        <w:pStyle w:val="Heading1"/>
        <w:spacing w:after="160" w:before="320"/>
      </w:pPr>
      <w:r>
        <w:t xml:space="preserve">8. Open Decisions — Not Resolved in the Mockup</w:t>
      </w:r>
    </w:p>
    <w:p>
      <w:pPr>
        <w:spacing w:after="140"/>
      </w:pPr>
      <w:r>
        <w:t>The following known implementation question is intentionally left undecided in the mockups and needs a direct conversation before or during implementation: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ASA PMS field mapping. </w:t>
      </w:r>
      <w:r>
        <w:t xml:space="preserve">Which guest/stay fields come from ASA PMS and how they map into QualityFriend is currently only a placeholder in the mockup UI, not specified.</w:t>
      </w:r>
    </w:p>
    <w:p>
      <w:pPr>
        <w:pStyle w:val="Heading1"/>
        <w:spacing w:after="160" w:before="320"/>
      </w:pPr>
      <w:r>
        <w:t xml:space="preserve">9. Not Reflected in the Mockup — Relevant for Real Operation</w:t>
      </w:r>
    </w:p>
    <w:p>
      <w:pPr>
        <w:spacing w:after="140"/>
      </w:pPr>
      <w:r>
        <w:t xml:space="preserve">Two operational realities were deliberately left out of the mockups but matter for the real system and should not be silently skipped: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Concurrent edits. </w:t>
      </w:r>
      <w:r>
        <w:t xml:space="preserve">What happens when two people mark the same room “Sauber” at the same time, or edit the same repair simultaneously? Needs a defined conflict-resolution approach (e.g. last-write-wins with visible warning, optimistic locking,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Offline behavior. </w:t>
      </w:r>
      <w:r>
        <w:t xml:space="preserve">Housekeeping and Haustechnik staff often work in areas with poor WLAN (basements, garden/outdoor areas). The mockup assumes constant connectivity; the real app should define what happens to actions taken offline (queued/synced later, blocked, etc.).</w:t>
      </w:r>
    </w:p>
    <w:p>
      <w:pPr>
        <w:pStyle w:val="Heading1"/>
        <w:spacing w:after="160" w:before="320"/>
      </w:pPr>
      <w:r>
        <w:t xml:space="preserve">10. Module Status: AI Revenue Forecast (and Other Paused Modules)</w:t>
      </w:r>
    </w:p>
    <w:p>
      <w:pPr>
        <w:spacing w:after="140"/>
      </w:pPr>
      <w:r>
        <w:rPr>
          <w:b/>
          <w:bCs/>
        </w:rPr>
        <w:t xml:space="preserve">Important: </w:t>
      </w:r>
      <w:r>
        <w:t xml:space="preserve">The AI Revenue Forecast module (KI-Empfehlungen / daily pricing, Konkurrenztarife / competitor rates, Monats- &amp; Zimmerdetails) is not finished. Whatever exists in the mockup for this module should be treated as an early, incomplete concept sketch only — not as a implementation-ready reference the way the other modules listed above are. Please do not begin implementation work on this module until an updated, completed mockup or spec is provided.</w:t>
      </w:r>
    </w:p>
    <w:p>
      <w:pPr>
        <w:spacing w:after="140"/>
      </w:pPr>
      <w:r>
        <w:t xml:space="preserve">The Budget, Dienstplan, and Analytics modules are likewise paused/deferred and not part of the current handoff — they were intentionally set aside in favor of finishing the core operational workflows first (Settings, Recruiting, Handovers, Checklists, Repairs, Housekeeping, Notes, Handbooks, quick-capture).</w:t>
      </w:r>
    </w:p>
    <w:p>
      <w:pPr>
        <w:pStyle w:val="Heading1"/>
        <w:spacing w:after="160" w:before="320"/>
      </w:pPr>
      <w:r>
        <w:t xml:space="preserve">11. Suggested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Reconcile entity field names between weihrerhof-system.html and weihrerhof-mobile.html into the single canonical schema outlined in section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status-transition and permissions tables (sections 5–6) together before implementation starts on Repairs, Rooms, and Handovers.</w:t>
      </w:r>
    </w:p>
    <w:p>
      <w:pPr>
        <w:pStyle w:val="ListParagraph"/>
        <w:numPr>
          <w:ilvl w:val="0"/>
          <w:numId w:val="2"/>
        </w:numPr>
        <w:spacing w:after="80"/>
      </w:pPr>
      <w:r>
        <w:t>Before coding each module, confirm its canonical entity schema, allowed status transitions, and permission rules.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 any additional simulated-vs-real gaps you find while implementing (section 7) so this document can be kept current.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2026-08-23T16:49:17.115Z</dcterms:created>
  <dcterms:modified xsi:type="dcterms:W3CDTF">2026-08-23T16:49:17.129Z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